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06" w:rsidRPr="008178BB" w:rsidRDefault="005B4E06" w:rsidP="005B4E06">
      <w:pPr>
        <w:pStyle w:val="NoSpacing"/>
        <w:jc w:val="center"/>
        <w:rPr>
          <w:rFonts w:ascii="Arial" w:hAnsi="Arial" w:cs="Arial"/>
          <w:b/>
        </w:rPr>
      </w:pPr>
      <w:r w:rsidRPr="008178BB">
        <w:rPr>
          <w:rFonts w:ascii="Arial" w:hAnsi="Arial" w:cs="Arial"/>
          <w:b/>
        </w:rPr>
        <w:t xml:space="preserve">PUBLIC CONSULTATION ON THE PROPOSED </w:t>
      </w:r>
    </w:p>
    <w:p w:rsidR="005B4E06" w:rsidRPr="008178BB" w:rsidRDefault="005B4E06" w:rsidP="005B4E06">
      <w:pPr>
        <w:pStyle w:val="NoSpacing"/>
        <w:jc w:val="center"/>
        <w:rPr>
          <w:rFonts w:ascii="Arial" w:hAnsi="Arial" w:cs="Arial"/>
          <w:b/>
          <w:i/>
        </w:rPr>
      </w:pPr>
      <w:r w:rsidRPr="008178BB">
        <w:rPr>
          <w:rFonts w:ascii="Arial" w:hAnsi="Arial" w:cs="Arial"/>
          <w:b/>
          <w:i/>
        </w:rPr>
        <w:t>SAFE FOOD FOR CANADIANS REGULATIONS</w:t>
      </w:r>
      <w:r w:rsidRPr="008178BB">
        <w:rPr>
          <w:rFonts w:ascii="Arial" w:hAnsi="Arial" w:cs="Arial"/>
          <w:b/>
        </w:rPr>
        <w:t xml:space="preserve"> (SFCR)</w:t>
      </w:r>
    </w:p>
    <w:p w:rsidR="005B4E06" w:rsidRPr="008178BB" w:rsidRDefault="005B4E06" w:rsidP="005B4E06">
      <w:pPr>
        <w:pStyle w:val="NoSpacing"/>
        <w:jc w:val="center"/>
        <w:rPr>
          <w:rFonts w:ascii="Arial" w:hAnsi="Arial" w:cs="Arial"/>
          <w:b/>
        </w:rPr>
      </w:pPr>
    </w:p>
    <w:p w:rsidR="005B4E06" w:rsidRPr="008178BB" w:rsidRDefault="005B4E06" w:rsidP="005B4E06">
      <w:pPr>
        <w:pStyle w:val="NoSpacing"/>
        <w:jc w:val="center"/>
        <w:rPr>
          <w:rFonts w:ascii="Arial" w:hAnsi="Arial" w:cs="Arial"/>
          <w:b/>
          <w:u w:val="single"/>
        </w:rPr>
      </w:pPr>
      <w:r w:rsidRPr="008178BB">
        <w:rPr>
          <w:rFonts w:ascii="Arial" w:hAnsi="Arial" w:cs="Arial"/>
          <w:b/>
          <w:u w:val="single"/>
        </w:rPr>
        <w:t>QUESTIONS AND ANSWERS</w:t>
      </w:r>
    </w:p>
    <w:p w:rsidR="005B4E06" w:rsidRPr="008178BB" w:rsidRDefault="005B4E06" w:rsidP="005B4E06">
      <w:pPr>
        <w:pStyle w:val="NoSpacing"/>
        <w:rPr>
          <w:rFonts w:ascii="Arial" w:hAnsi="Arial" w:cs="Arial"/>
        </w:rPr>
      </w:pPr>
    </w:p>
    <w:p w:rsidR="00A25051" w:rsidRPr="008178BB" w:rsidRDefault="00A25051" w:rsidP="005B4E06">
      <w:pPr>
        <w:pStyle w:val="NoSpacing"/>
        <w:rPr>
          <w:rFonts w:ascii="Arial" w:hAnsi="Arial" w:cs="Arial"/>
        </w:rPr>
      </w:pPr>
    </w:p>
    <w:p w:rsidR="005B4E06" w:rsidRPr="008178BB" w:rsidRDefault="005B4E06" w:rsidP="005B4E06">
      <w:pPr>
        <w:pStyle w:val="NoSpacing"/>
        <w:spacing w:line="288" w:lineRule="auto"/>
        <w:rPr>
          <w:rFonts w:ascii="Arial" w:hAnsi="Arial" w:cs="Arial"/>
          <w:b/>
        </w:rPr>
      </w:pPr>
      <w:r w:rsidRPr="008178BB">
        <w:rPr>
          <w:rFonts w:ascii="Arial" w:hAnsi="Arial" w:cs="Arial"/>
          <w:b/>
        </w:rPr>
        <w:t>ABOUT THE PROPOSAL</w:t>
      </w:r>
    </w:p>
    <w:p w:rsidR="005B4E06" w:rsidRPr="008178BB" w:rsidRDefault="005B4E06" w:rsidP="005B4E06">
      <w:pPr>
        <w:pStyle w:val="NoSpacing"/>
        <w:spacing w:line="288" w:lineRule="auto"/>
        <w:rPr>
          <w:rFonts w:ascii="Arial" w:hAnsi="Arial" w:cs="Arial"/>
        </w:rPr>
      </w:pPr>
    </w:p>
    <w:p w:rsidR="005B4E06" w:rsidRPr="008178BB" w:rsidRDefault="005B4E06" w:rsidP="005B4E06">
      <w:pPr>
        <w:pStyle w:val="NoSpacing"/>
        <w:spacing w:line="288" w:lineRule="auto"/>
        <w:rPr>
          <w:rFonts w:ascii="Arial" w:eastAsiaTheme="majorEastAsia" w:hAnsi="Arial" w:cs="Arial"/>
          <w:bCs/>
        </w:rPr>
      </w:pPr>
      <w:r w:rsidRPr="008178BB">
        <w:rPr>
          <w:rFonts w:ascii="Arial" w:eastAsiaTheme="majorEastAsia" w:hAnsi="Arial" w:cs="Arial"/>
          <w:b/>
          <w:bCs/>
        </w:rPr>
        <w:t>1.</w:t>
      </w:r>
      <w:r w:rsidRPr="008178BB">
        <w:rPr>
          <w:rFonts w:ascii="Arial" w:eastAsiaTheme="majorEastAsia" w:hAnsi="Arial" w:cs="Arial"/>
          <w:bCs/>
        </w:rPr>
        <w:t xml:space="preserve"> </w:t>
      </w:r>
      <w:r w:rsidRPr="008178BB">
        <w:rPr>
          <w:rFonts w:ascii="Arial" w:eastAsiaTheme="majorEastAsia" w:hAnsi="Arial" w:cs="Arial"/>
          <w:bCs/>
        </w:rPr>
        <w:tab/>
        <w:t>How would foods prepared and sold within the same province be impacted?</w:t>
      </w:r>
    </w:p>
    <w:p w:rsidR="00CD78F9" w:rsidRPr="008178BB" w:rsidRDefault="00CD78F9" w:rsidP="005B4E06">
      <w:pPr>
        <w:pStyle w:val="NoSpacing"/>
        <w:spacing w:line="288" w:lineRule="auto"/>
        <w:rPr>
          <w:rFonts w:ascii="Arial" w:eastAsiaTheme="majorEastAsia" w:hAnsi="Arial" w:cs="Arial"/>
          <w:bCs/>
        </w:rPr>
      </w:pPr>
    </w:p>
    <w:p w:rsidR="005B4E06" w:rsidRPr="008178BB" w:rsidRDefault="005B4E06" w:rsidP="005B4E06">
      <w:pPr>
        <w:pStyle w:val="NoSpacing"/>
        <w:spacing w:line="288" w:lineRule="auto"/>
        <w:rPr>
          <w:rFonts w:ascii="Arial" w:hAnsi="Arial" w:cs="Arial"/>
        </w:rPr>
      </w:pPr>
      <w:r w:rsidRPr="008178BB">
        <w:rPr>
          <w:rFonts w:ascii="Arial" w:hAnsi="Arial" w:cs="Arial"/>
          <w:b/>
        </w:rPr>
        <w:t>2.</w:t>
      </w:r>
      <w:r w:rsidRPr="008178BB">
        <w:rPr>
          <w:rFonts w:ascii="Arial" w:hAnsi="Arial" w:cs="Arial"/>
        </w:rPr>
        <w:t xml:space="preserve"> </w:t>
      </w:r>
      <w:r w:rsidRPr="008178BB">
        <w:rPr>
          <w:rFonts w:ascii="Arial" w:hAnsi="Arial" w:cs="Arial"/>
        </w:rPr>
        <w:tab/>
        <w:t>How would the proposed regulations impact imported foods and importers?</w:t>
      </w:r>
    </w:p>
    <w:p w:rsidR="00CD78F9" w:rsidRPr="008178BB" w:rsidRDefault="00CD78F9" w:rsidP="005B4E06">
      <w:pPr>
        <w:pStyle w:val="NoSpacing"/>
        <w:spacing w:line="288" w:lineRule="auto"/>
        <w:rPr>
          <w:rFonts w:ascii="Arial" w:hAnsi="Arial" w:cs="Arial"/>
        </w:rPr>
      </w:pPr>
    </w:p>
    <w:p w:rsidR="005B4E06" w:rsidRPr="008178BB" w:rsidRDefault="00CD78F9" w:rsidP="005B4E06">
      <w:pPr>
        <w:pStyle w:val="NoSpacing"/>
        <w:spacing w:line="288" w:lineRule="auto"/>
        <w:rPr>
          <w:rFonts w:ascii="Arial" w:hAnsi="Arial" w:cs="Arial"/>
        </w:rPr>
      </w:pPr>
      <w:r w:rsidRPr="008178BB">
        <w:rPr>
          <w:rFonts w:ascii="Arial" w:hAnsi="Arial" w:cs="Arial"/>
          <w:b/>
        </w:rPr>
        <w:t>3</w:t>
      </w:r>
      <w:r w:rsidR="005B4E06" w:rsidRPr="008178BB">
        <w:rPr>
          <w:rFonts w:ascii="Arial" w:hAnsi="Arial" w:cs="Arial"/>
          <w:b/>
        </w:rPr>
        <w:t>.</w:t>
      </w:r>
      <w:r w:rsidR="005B4E06" w:rsidRPr="008178BB">
        <w:rPr>
          <w:rFonts w:ascii="Arial" w:hAnsi="Arial" w:cs="Arial"/>
        </w:rPr>
        <w:t xml:space="preserve"> </w:t>
      </w:r>
      <w:r w:rsidR="005B4E06" w:rsidRPr="008178BB">
        <w:rPr>
          <w:rFonts w:ascii="Arial" w:hAnsi="Arial" w:cs="Arial"/>
        </w:rPr>
        <w:tab/>
        <w:t>When would the proposed regulations become law?</w:t>
      </w:r>
    </w:p>
    <w:p w:rsidR="005B4E06" w:rsidRPr="008178BB" w:rsidRDefault="005B4E06" w:rsidP="005B4E06">
      <w:pPr>
        <w:pStyle w:val="NoSpacing"/>
        <w:spacing w:line="288" w:lineRule="auto"/>
        <w:rPr>
          <w:rFonts w:ascii="Arial" w:hAnsi="Arial" w:cs="Arial"/>
          <w:b/>
        </w:rPr>
      </w:pPr>
    </w:p>
    <w:p w:rsidR="00CD78F9" w:rsidRPr="008178BB" w:rsidRDefault="00CD78F9" w:rsidP="005B4E06">
      <w:pPr>
        <w:pStyle w:val="NoSpacing"/>
        <w:spacing w:line="288" w:lineRule="auto"/>
        <w:rPr>
          <w:rFonts w:ascii="Arial" w:hAnsi="Arial" w:cs="Arial"/>
          <w:b/>
        </w:rPr>
      </w:pPr>
    </w:p>
    <w:p w:rsidR="005B4E06" w:rsidRPr="008178BB" w:rsidRDefault="005B4E06" w:rsidP="005B4E06">
      <w:pPr>
        <w:pStyle w:val="NoSpacing"/>
        <w:spacing w:line="288" w:lineRule="auto"/>
        <w:rPr>
          <w:rFonts w:ascii="Arial" w:hAnsi="Arial" w:cs="Arial"/>
          <w:b/>
        </w:rPr>
      </w:pPr>
      <w:r w:rsidRPr="008178BB">
        <w:rPr>
          <w:rFonts w:ascii="Arial" w:hAnsi="Arial" w:cs="Arial"/>
          <w:b/>
        </w:rPr>
        <w:t>IMPACT ON TRADE</w:t>
      </w:r>
    </w:p>
    <w:p w:rsidR="005B4E06" w:rsidRPr="008178BB" w:rsidRDefault="005B4E06" w:rsidP="005B4E06">
      <w:pPr>
        <w:pStyle w:val="NoSpacing"/>
        <w:spacing w:line="288" w:lineRule="auto"/>
        <w:rPr>
          <w:rFonts w:ascii="Arial" w:hAnsi="Arial" w:cs="Arial"/>
          <w:b/>
        </w:rPr>
      </w:pPr>
    </w:p>
    <w:p w:rsidR="005B4E06" w:rsidRPr="008178BB" w:rsidRDefault="00CD78F9" w:rsidP="005B4E06">
      <w:pPr>
        <w:pStyle w:val="NoSpacing"/>
        <w:spacing w:line="288" w:lineRule="auto"/>
        <w:rPr>
          <w:rStyle w:val="Heading2Char"/>
          <w:rFonts w:ascii="Arial" w:eastAsiaTheme="minorHAnsi" w:hAnsi="Arial" w:cs="Arial"/>
          <w:b w:val="0"/>
          <w:bCs w:val="0"/>
          <w:color w:val="auto"/>
          <w:sz w:val="22"/>
          <w:szCs w:val="22"/>
          <w:lang w:val="en-US"/>
        </w:rPr>
      </w:pPr>
      <w:r w:rsidRPr="008178BB">
        <w:rPr>
          <w:rStyle w:val="Heading2Char"/>
          <w:rFonts w:ascii="Arial" w:eastAsiaTheme="minorHAnsi" w:hAnsi="Arial" w:cs="Arial"/>
          <w:bCs w:val="0"/>
          <w:color w:val="auto"/>
          <w:sz w:val="22"/>
          <w:szCs w:val="22"/>
          <w:lang w:val="en-US"/>
        </w:rPr>
        <w:t>4</w:t>
      </w:r>
      <w:r w:rsidR="005B4E06" w:rsidRPr="008178BB">
        <w:rPr>
          <w:rStyle w:val="Heading2Char"/>
          <w:rFonts w:ascii="Arial" w:eastAsiaTheme="minorHAnsi" w:hAnsi="Arial" w:cs="Arial"/>
          <w:bCs w:val="0"/>
          <w:color w:val="auto"/>
          <w:sz w:val="22"/>
          <w:szCs w:val="22"/>
          <w:lang w:val="en-US"/>
        </w:rPr>
        <w:t>.</w:t>
      </w:r>
      <w:r w:rsidR="005B4E06" w:rsidRPr="008178BB">
        <w:rPr>
          <w:rStyle w:val="Heading2Char"/>
          <w:rFonts w:ascii="Arial" w:eastAsiaTheme="minorHAnsi" w:hAnsi="Arial" w:cs="Arial"/>
          <w:b w:val="0"/>
          <w:bCs w:val="0"/>
          <w:color w:val="auto"/>
          <w:sz w:val="22"/>
          <w:szCs w:val="22"/>
          <w:lang w:val="en-US"/>
        </w:rPr>
        <w:t xml:space="preserve"> </w:t>
      </w:r>
      <w:r w:rsidR="005B4E06" w:rsidRPr="008178BB">
        <w:rPr>
          <w:rStyle w:val="Heading2Char"/>
          <w:rFonts w:ascii="Arial" w:eastAsiaTheme="minorHAnsi" w:hAnsi="Arial" w:cs="Arial"/>
          <w:b w:val="0"/>
          <w:bCs w:val="0"/>
          <w:color w:val="auto"/>
          <w:sz w:val="22"/>
          <w:szCs w:val="22"/>
          <w:lang w:val="en-US"/>
        </w:rPr>
        <w:tab/>
        <w:t>How do the proposed regulations compare internationally?</w:t>
      </w:r>
    </w:p>
    <w:p w:rsidR="00CD78F9" w:rsidRPr="008178BB" w:rsidRDefault="00CD78F9" w:rsidP="005B4E06">
      <w:pPr>
        <w:pStyle w:val="NoSpacing"/>
        <w:spacing w:line="288" w:lineRule="auto"/>
        <w:rPr>
          <w:rStyle w:val="Heading2Char"/>
          <w:rFonts w:ascii="Arial" w:eastAsiaTheme="minorHAnsi" w:hAnsi="Arial" w:cs="Arial"/>
          <w:b w:val="0"/>
          <w:bCs w:val="0"/>
          <w:color w:val="auto"/>
          <w:sz w:val="22"/>
          <w:szCs w:val="22"/>
          <w:lang w:val="en-US"/>
        </w:rPr>
      </w:pPr>
    </w:p>
    <w:p w:rsidR="005B4E06" w:rsidRPr="008178BB" w:rsidRDefault="00CD78F9" w:rsidP="005B4E06">
      <w:pPr>
        <w:pStyle w:val="NoSpacing"/>
        <w:spacing w:line="288" w:lineRule="auto"/>
        <w:rPr>
          <w:rFonts w:ascii="Arial" w:hAnsi="Arial" w:cs="Arial"/>
        </w:rPr>
      </w:pPr>
      <w:r w:rsidRPr="008178BB">
        <w:rPr>
          <w:rFonts w:ascii="Arial" w:hAnsi="Arial" w:cs="Arial"/>
          <w:b/>
        </w:rPr>
        <w:t>5</w:t>
      </w:r>
      <w:r w:rsidR="005B4E06" w:rsidRPr="008178BB">
        <w:rPr>
          <w:rFonts w:ascii="Arial" w:hAnsi="Arial" w:cs="Arial"/>
          <w:b/>
        </w:rPr>
        <w:t>.</w:t>
      </w:r>
      <w:r w:rsidR="005B4E06" w:rsidRPr="008178BB">
        <w:rPr>
          <w:rFonts w:ascii="Arial" w:hAnsi="Arial" w:cs="Arial"/>
        </w:rPr>
        <w:t xml:space="preserve"> </w:t>
      </w:r>
      <w:r w:rsidR="005B4E06" w:rsidRPr="008178BB">
        <w:rPr>
          <w:rFonts w:ascii="Arial" w:hAnsi="Arial" w:cs="Arial"/>
        </w:rPr>
        <w:tab/>
        <w:t xml:space="preserve">Are the proposed SFCR and U.S. food safety rules aligned? </w:t>
      </w:r>
    </w:p>
    <w:p w:rsidR="005B4E06" w:rsidRPr="008178BB" w:rsidRDefault="005B4E06" w:rsidP="005B4E06">
      <w:pPr>
        <w:pStyle w:val="NoSpacing"/>
        <w:spacing w:line="288" w:lineRule="auto"/>
        <w:rPr>
          <w:rFonts w:ascii="Arial" w:hAnsi="Arial" w:cs="Arial"/>
          <w:b/>
        </w:rPr>
      </w:pPr>
    </w:p>
    <w:p w:rsidR="00CD78F9" w:rsidRPr="008178BB" w:rsidRDefault="00CD78F9" w:rsidP="005B4E06">
      <w:pPr>
        <w:pStyle w:val="NoSpacing"/>
        <w:spacing w:line="288" w:lineRule="auto"/>
        <w:rPr>
          <w:rFonts w:ascii="Arial" w:hAnsi="Arial" w:cs="Arial"/>
          <w:b/>
        </w:rPr>
      </w:pPr>
    </w:p>
    <w:p w:rsidR="005B4E06" w:rsidRPr="008178BB" w:rsidRDefault="005B4E06" w:rsidP="005B4E06">
      <w:pPr>
        <w:pStyle w:val="NoSpacing"/>
        <w:spacing w:line="288" w:lineRule="auto"/>
        <w:rPr>
          <w:rFonts w:ascii="Arial" w:hAnsi="Arial" w:cs="Arial"/>
          <w:b/>
        </w:rPr>
      </w:pPr>
      <w:r w:rsidRPr="008178BB">
        <w:rPr>
          <w:rFonts w:ascii="Arial" w:hAnsi="Arial" w:cs="Arial"/>
          <w:b/>
        </w:rPr>
        <w:t>SUPPORT FOR BUSINESSES</w:t>
      </w:r>
      <w:r w:rsidRPr="008178BB">
        <w:rPr>
          <w:rFonts w:ascii="Arial" w:hAnsi="Arial" w:cs="Arial"/>
          <w:b/>
        </w:rPr>
        <w:br/>
      </w:r>
    </w:p>
    <w:p w:rsidR="005B4E06" w:rsidRPr="008178BB" w:rsidRDefault="00CD78F9" w:rsidP="005B4E06">
      <w:pPr>
        <w:pStyle w:val="NoSpacing"/>
        <w:spacing w:line="288" w:lineRule="auto"/>
        <w:ind w:left="720" w:hanging="720"/>
        <w:rPr>
          <w:rFonts w:ascii="Arial" w:hAnsi="Arial" w:cs="Arial"/>
        </w:rPr>
      </w:pPr>
      <w:r w:rsidRPr="008178BB">
        <w:rPr>
          <w:rFonts w:ascii="Arial" w:hAnsi="Arial" w:cs="Arial"/>
          <w:b/>
        </w:rPr>
        <w:t>6</w:t>
      </w:r>
      <w:r w:rsidR="005B4E06" w:rsidRPr="008178BB">
        <w:rPr>
          <w:rFonts w:ascii="Arial" w:hAnsi="Arial" w:cs="Arial"/>
          <w:b/>
        </w:rPr>
        <w:t>.</w:t>
      </w:r>
      <w:r w:rsidR="005B4E06" w:rsidRPr="008178BB">
        <w:rPr>
          <w:rFonts w:ascii="Arial" w:hAnsi="Arial" w:cs="Arial"/>
        </w:rPr>
        <w:t xml:space="preserve"> </w:t>
      </w:r>
      <w:r w:rsidR="005B4E06" w:rsidRPr="008178BB">
        <w:rPr>
          <w:rFonts w:ascii="Arial" w:hAnsi="Arial" w:cs="Arial"/>
        </w:rPr>
        <w:tab/>
        <w:t>Will the proposed regulations place too much burden on importers and small businesses that are not familiar with the CFIA and/or have limited knowledge of preventive controls?</w:t>
      </w:r>
    </w:p>
    <w:p w:rsidR="00CD78F9" w:rsidRPr="008178BB" w:rsidRDefault="00CD78F9" w:rsidP="005B4E06">
      <w:pPr>
        <w:pStyle w:val="NoSpacing"/>
        <w:spacing w:line="288" w:lineRule="auto"/>
        <w:ind w:left="720" w:hanging="720"/>
        <w:rPr>
          <w:rFonts w:ascii="Arial" w:hAnsi="Arial" w:cs="Arial"/>
        </w:rPr>
      </w:pPr>
    </w:p>
    <w:p w:rsidR="005B4E06" w:rsidRPr="008178BB" w:rsidRDefault="00CD78F9" w:rsidP="005B4E06">
      <w:pPr>
        <w:pStyle w:val="NoSpacing"/>
        <w:spacing w:line="288" w:lineRule="auto"/>
        <w:ind w:left="720" w:hanging="720"/>
        <w:rPr>
          <w:rFonts w:ascii="Arial" w:hAnsi="Arial" w:cs="Arial"/>
          <w:b/>
        </w:rPr>
      </w:pPr>
      <w:r w:rsidRPr="008178BB">
        <w:rPr>
          <w:rFonts w:ascii="Arial" w:hAnsi="Arial" w:cs="Arial"/>
          <w:b/>
          <w:lang w:val="en-CA"/>
        </w:rPr>
        <w:t>7</w:t>
      </w:r>
      <w:r w:rsidR="005B4E06" w:rsidRPr="008178BB">
        <w:rPr>
          <w:rFonts w:ascii="Arial" w:hAnsi="Arial" w:cs="Arial"/>
          <w:b/>
          <w:lang w:val="en-CA"/>
        </w:rPr>
        <w:t xml:space="preserve">. </w:t>
      </w:r>
      <w:r w:rsidR="005B4E06" w:rsidRPr="008178BB">
        <w:rPr>
          <w:rFonts w:ascii="Arial" w:hAnsi="Arial" w:cs="Arial"/>
          <w:lang w:val="en-CA"/>
        </w:rPr>
        <w:tab/>
      </w:r>
      <w:r w:rsidR="005B4E06" w:rsidRPr="008178BB">
        <w:rPr>
          <w:rFonts w:ascii="Arial" w:hAnsi="Arial" w:cs="Arial"/>
        </w:rPr>
        <w:t>Will food businesses have enough time to prepare and implement a Preventive Control Plan and traceability requirements?</w:t>
      </w:r>
    </w:p>
    <w:p w:rsidR="005B4E06" w:rsidRPr="008178BB" w:rsidRDefault="005B4E06" w:rsidP="005B4E06">
      <w:pPr>
        <w:pStyle w:val="NoSpacing"/>
        <w:spacing w:line="288" w:lineRule="auto"/>
        <w:rPr>
          <w:rFonts w:ascii="Arial" w:hAnsi="Arial" w:cs="Arial"/>
          <w:b/>
          <w:lang w:val="en-CA"/>
        </w:rPr>
      </w:pPr>
    </w:p>
    <w:p w:rsidR="00CD78F9" w:rsidRPr="008178BB" w:rsidRDefault="00CD78F9" w:rsidP="005B4E06">
      <w:pPr>
        <w:pStyle w:val="NoSpacing"/>
        <w:spacing w:line="288" w:lineRule="auto"/>
        <w:rPr>
          <w:rFonts w:ascii="Arial" w:hAnsi="Arial" w:cs="Arial"/>
          <w:b/>
          <w:lang w:val="en-CA"/>
        </w:rPr>
      </w:pPr>
    </w:p>
    <w:p w:rsidR="005B4E06" w:rsidRPr="008178BB" w:rsidRDefault="00CD78F9" w:rsidP="005B4E06">
      <w:pPr>
        <w:pStyle w:val="NoSpacing"/>
        <w:spacing w:line="288" w:lineRule="auto"/>
        <w:rPr>
          <w:rFonts w:ascii="Arial" w:hAnsi="Arial" w:cs="Arial"/>
          <w:b/>
        </w:rPr>
      </w:pPr>
      <w:r w:rsidRPr="008178BB">
        <w:rPr>
          <w:rFonts w:ascii="Arial" w:hAnsi="Arial" w:cs="Arial"/>
          <w:b/>
          <w:lang w:val="en-CA"/>
        </w:rPr>
        <w:t>ADDITIONAL QUESTIONS</w:t>
      </w:r>
    </w:p>
    <w:p w:rsidR="005B4E06" w:rsidRPr="008178BB" w:rsidRDefault="005B4E06" w:rsidP="005B4E06">
      <w:pPr>
        <w:pStyle w:val="NoSpacing"/>
        <w:spacing w:line="288" w:lineRule="auto"/>
        <w:rPr>
          <w:rFonts w:ascii="Arial" w:hAnsi="Arial" w:cs="Arial"/>
          <w:b/>
        </w:rPr>
      </w:pPr>
    </w:p>
    <w:p w:rsidR="005B4E06" w:rsidRPr="008178BB" w:rsidRDefault="00CD78F9" w:rsidP="005B4E06">
      <w:pPr>
        <w:pStyle w:val="NoSpacing"/>
        <w:spacing w:line="288" w:lineRule="auto"/>
        <w:rPr>
          <w:rFonts w:ascii="Arial" w:hAnsi="Arial" w:cs="Arial"/>
          <w:b/>
        </w:rPr>
      </w:pPr>
      <w:r w:rsidRPr="008178BB">
        <w:rPr>
          <w:rFonts w:ascii="Arial" w:hAnsi="Arial" w:cs="Arial"/>
          <w:b/>
          <w:color w:val="000000"/>
        </w:rPr>
        <w:t>8</w:t>
      </w:r>
      <w:r w:rsidRPr="008178BB">
        <w:rPr>
          <w:rFonts w:ascii="Arial" w:hAnsi="Arial" w:cs="Arial"/>
          <w:b/>
        </w:rPr>
        <w:t>.</w:t>
      </w:r>
      <w:r w:rsidRPr="008178BB">
        <w:rPr>
          <w:rFonts w:ascii="Arial" w:hAnsi="Arial" w:cs="Arial"/>
        </w:rPr>
        <w:tab/>
        <w:t>Where</w:t>
      </w:r>
      <w:r w:rsidR="005B4E06" w:rsidRPr="008178BB">
        <w:rPr>
          <w:rFonts w:ascii="Arial" w:hAnsi="Arial" w:cs="Arial"/>
        </w:rPr>
        <w:t xml:space="preserve"> should </w:t>
      </w:r>
      <w:r w:rsidRPr="008178BB">
        <w:rPr>
          <w:rFonts w:ascii="Arial" w:hAnsi="Arial" w:cs="Arial"/>
        </w:rPr>
        <w:t>stakeholders direct their</w:t>
      </w:r>
      <w:r w:rsidR="005B4E06" w:rsidRPr="008178BB">
        <w:rPr>
          <w:rFonts w:ascii="Arial" w:hAnsi="Arial" w:cs="Arial"/>
        </w:rPr>
        <w:t xml:space="preserve"> questions?</w:t>
      </w:r>
    </w:p>
    <w:p w:rsidR="005B5708" w:rsidRPr="008178BB" w:rsidRDefault="005B5708" w:rsidP="0031135B">
      <w:pPr>
        <w:pStyle w:val="NoSpacing"/>
        <w:rPr>
          <w:rFonts w:ascii="Arial" w:hAnsi="Arial" w:cs="Arial"/>
          <w:b/>
          <w:lang w:val="en-CA"/>
        </w:rPr>
      </w:pPr>
    </w:p>
    <w:p w:rsidR="00786FAE" w:rsidRPr="008178BB" w:rsidRDefault="00786FAE"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CD78F9" w:rsidRPr="008178BB" w:rsidRDefault="00CD78F9" w:rsidP="0031135B">
      <w:pPr>
        <w:pStyle w:val="NoSpacing"/>
        <w:rPr>
          <w:rFonts w:ascii="Arial" w:hAnsi="Arial" w:cs="Arial"/>
          <w:b/>
          <w:lang w:val="en-CA"/>
        </w:rPr>
      </w:pPr>
    </w:p>
    <w:p w:rsidR="00B51415" w:rsidRPr="008178BB" w:rsidRDefault="00B51415" w:rsidP="008A624B">
      <w:pPr>
        <w:pStyle w:val="NoSpacing"/>
        <w:rPr>
          <w:rFonts w:ascii="Arial" w:hAnsi="Arial" w:cs="Arial"/>
          <w:b/>
        </w:rPr>
      </w:pPr>
      <w:r w:rsidRPr="008178BB">
        <w:rPr>
          <w:rFonts w:ascii="Arial" w:hAnsi="Arial" w:cs="Arial"/>
          <w:b/>
        </w:rPr>
        <w:t xml:space="preserve">ABOUT THE PROPOSAL </w:t>
      </w:r>
    </w:p>
    <w:p w:rsidR="00B51415" w:rsidRPr="008178BB" w:rsidRDefault="00B51415" w:rsidP="008A624B">
      <w:pPr>
        <w:pStyle w:val="NoSpacing"/>
        <w:rPr>
          <w:rFonts w:ascii="Arial" w:hAnsi="Arial" w:cs="Arial"/>
          <w:b/>
        </w:rPr>
      </w:pPr>
    </w:p>
    <w:p w:rsidR="00B216D9" w:rsidRPr="008178BB" w:rsidRDefault="00786FAE" w:rsidP="008A624B">
      <w:pPr>
        <w:pStyle w:val="NoSpacing"/>
        <w:rPr>
          <w:rFonts w:ascii="Arial" w:eastAsiaTheme="majorEastAsia" w:hAnsi="Arial" w:cs="Arial"/>
          <w:b/>
          <w:bCs/>
        </w:rPr>
      </w:pPr>
      <w:r w:rsidRPr="008178BB">
        <w:rPr>
          <w:rFonts w:ascii="Arial" w:hAnsi="Arial" w:cs="Arial"/>
          <w:b/>
        </w:rPr>
        <w:t>1</w:t>
      </w:r>
      <w:r w:rsidR="00B216D9" w:rsidRPr="008178BB">
        <w:rPr>
          <w:rFonts w:ascii="Arial" w:eastAsiaTheme="majorEastAsia" w:hAnsi="Arial" w:cs="Arial"/>
          <w:b/>
          <w:bCs/>
        </w:rPr>
        <w:t xml:space="preserve">. </w:t>
      </w:r>
      <w:r w:rsidR="005E2D39" w:rsidRPr="008178BB">
        <w:rPr>
          <w:rFonts w:ascii="Arial" w:eastAsiaTheme="majorEastAsia" w:hAnsi="Arial" w:cs="Arial"/>
          <w:b/>
          <w:bCs/>
        </w:rPr>
        <w:t>How w</w:t>
      </w:r>
      <w:r w:rsidR="00082B44" w:rsidRPr="008178BB">
        <w:rPr>
          <w:rFonts w:ascii="Arial" w:eastAsiaTheme="majorEastAsia" w:hAnsi="Arial" w:cs="Arial"/>
          <w:b/>
          <w:bCs/>
        </w:rPr>
        <w:t xml:space="preserve">ould foods prepared and sold within the same province </w:t>
      </w:r>
      <w:r w:rsidR="0003696C" w:rsidRPr="008178BB">
        <w:rPr>
          <w:rFonts w:ascii="Arial" w:eastAsiaTheme="majorEastAsia" w:hAnsi="Arial" w:cs="Arial"/>
          <w:b/>
          <w:bCs/>
        </w:rPr>
        <w:t>be impacted</w:t>
      </w:r>
      <w:r w:rsidR="00B216D9" w:rsidRPr="008178BB">
        <w:rPr>
          <w:rFonts w:ascii="Arial" w:eastAsiaTheme="majorEastAsia" w:hAnsi="Arial" w:cs="Arial"/>
          <w:b/>
          <w:bCs/>
        </w:rPr>
        <w:t>?</w:t>
      </w:r>
    </w:p>
    <w:p w:rsidR="008A624B" w:rsidRPr="008178BB" w:rsidRDefault="008A624B" w:rsidP="008A624B">
      <w:pPr>
        <w:pStyle w:val="NoSpacing"/>
        <w:rPr>
          <w:rFonts w:ascii="Arial" w:eastAsiaTheme="majorEastAsia" w:hAnsi="Arial" w:cs="Arial"/>
          <w:bCs/>
        </w:rPr>
      </w:pPr>
    </w:p>
    <w:p w:rsidR="00484375" w:rsidRPr="008178BB" w:rsidRDefault="00B216D9" w:rsidP="008A624B">
      <w:pPr>
        <w:pStyle w:val="NoSpacing"/>
        <w:rPr>
          <w:rFonts w:ascii="Arial" w:hAnsi="Arial" w:cs="Arial"/>
        </w:rPr>
      </w:pPr>
      <w:r w:rsidRPr="008178BB">
        <w:rPr>
          <w:rFonts w:ascii="Arial" w:hAnsi="Arial" w:cs="Arial"/>
        </w:rPr>
        <w:t xml:space="preserve">The </w:t>
      </w:r>
      <w:r w:rsidR="00082B44" w:rsidRPr="008178BB">
        <w:rPr>
          <w:rFonts w:ascii="Arial" w:hAnsi="Arial" w:cs="Arial"/>
        </w:rPr>
        <w:t xml:space="preserve">proposed regulations </w:t>
      </w:r>
      <w:r w:rsidRPr="008178BB">
        <w:rPr>
          <w:rFonts w:ascii="Arial" w:hAnsi="Arial" w:cs="Arial"/>
        </w:rPr>
        <w:t xml:space="preserve">generally </w:t>
      </w:r>
      <w:r w:rsidR="008241FF" w:rsidRPr="008178BB">
        <w:rPr>
          <w:rFonts w:ascii="Arial" w:hAnsi="Arial" w:cs="Arial"/>
        </w:rPr>
        <w:t xml:space="preserve">would </w:t>
      </w:r>
      <w:r w:rsidRPr="008178BB">
        <w:rPr>
          <w:rFonts w:ascii="Arial" w:hAnsi="Arial" w:cs="Arial"/>
        </w:rPr>
        <w:t xml:space="preserve">not apply to foods sold within a province (intra-provincial trade). </w:t>
      </w:r>
      <w:r w:rsidR="008241FF" w:rsidRPr="008178BB">
        <w:rPr>
          <w:rFonts w:ascii="Arial" w:hAnsi="Arial" w:cs="Arial"/>
        </w:rPr>
        <w:t>H</w:t>
      </w:r>
      <w:r w:rsidRPr="008178BB">
        <w:rPr>
          <w:rFonts w:ascii="Arial" w:hAnsi="Arial" w:cs="Arial"/>
        </w:rPr>
        <w:t xml:space="preserve">owever, certain </w:t>
      </w:r>
      <w:r w:rsidR="00EF59BC" w:rsidRPr="008178BB">
        <w:rPr>
          <w:rFonts w:ascii="Arial" w:hAnsi="Arial" w:cs="Arial"/>
        </w:rPr>
        <w:t xml:space="preserve">traceability, </w:t>
      </w:r>
      <w:r w:rsidRPr="008178BB">
        <w:rPr>
          <w:rFonts w:ascii="Arial" w:hAnsi="Arial" w:cs="Arial"/>
        </w:rPr>
        <w:t xml:space="preserve">labelling and </w:t>
      </w:r>
      <w:r w:rsidR="00EF59BC" w:rsidRPr="008178BB">
        <w:rPr>
          <w:rFonts w:ascii="Arial" w:hAnsi="Arial" w:cs="Arial"/>
        </w:rPr>
        <w:t xml:space="preserve">advertising </w:t>
      </w:r>
      <w:r w:rsidRPr="008178BB">
        <w:rPr>
          <w:rFonts w:ascii="Arial" w:hAnsi="Arial" w:cs="Arial"/>
        </w:rPr>
        <w:t xml:space="preserve">requirements </w:t>
      </w:r>
      <w:r w:rsidR="00EF59BC" w:rsidRPr="008178BB">
        <w:rPr>
          <w:rFonts w:ascii="Arial" w:hAnsi="Arial" w:cs="Arial"/>
        </w:rPr>
        <w:t xml:space="preserve">would </w:t>
      </w:r>
      <w:r w:rsidRPr="008178BB">
        <w:rPr>
          <w:rFonts w:ascii="Arial" w:hAnsi="Arial" w:cs="Arial"/>
        </w:rPr>
        <w:t>apply to businesses selling within a province, such as net quantity declarations</w:t>
      </w:r>
      <w:r w:rsidR="00035E23" w:rsidRPr="008178BB">
        <w:rPr>
          <w:rFonts w:ascii="Arial" w:hAnsi="Arial" w:cs="Arial"/>
        </w:rPr>
        <w:t xml:space="preserve"> </w:t>
      </w:r>
      <w:r w:rsidRPr="008178BB">
        <w:rPr>
          <w:rFonts w:ascii="Arial" w:hAnsi="Arial" w:cs="Arial"/>
        </w:rPr>
        <w:t>and bilingual labelling requirements.</w:t>
      </w:r>
      <w:r w:rsidR="00D71E2C" w:rsidRPr="008178BB">
        <w:rPr>
          <w:rFonts w:ascii="Arial" w:hAnsi="Arial" w:cs="Arial"/>
        </w:rPr>
        <w:t xml:space="preserve"> </w:t>
      </w:r>
    </w:p>
    <w:p w:rsidR="00484375" w:rsidRPr="008178BB" w:rsidRDefault="00484375" w:rsidP="008A624B">
      <w:pPr>
        <w:pStyle w:val="NoSpacing"/>
        <w:rPr>
          <w:rFonts w:ascii="Arial" w:hAnsi="Arial" w:cs="Arial"/>
        </w:rPr>
      </w:pPr>
    </w:p>
    <w:p w:rsidR="00484375" w:rsidRPr="008178BB" w:rsidRDefault="00484375" w:rsidP="008A624B">
      <w:pPr>
        <w:pStyle w:val="NoSpacing"/>
        <w:rPr>
          <w:rFonts w:ascii="Arial" w:hAnsi="Arial" w:cs="Arial"/>
        </w:rPr>
      </w:pPr>
      <w:r w:rsidRPr="008178BB">
        <w:rPr>
          <w:rFonts w:ascii="Arial" w:hAnsi="Arial" w:cs="Arial"/>
        </w:rPr>
        <w:t xml:space="preserve">The </w:t>
      </w:r>
      <w:r w:rsidRPr="008178BB">
        <w:rPr>
          <w:rFonts w:ascii="Arial" w:hAnsi="Arial" w:cs="Arial"/>
          <w:i/>
        </w:rPr>
        <w:t>Food and Drugs Act</w:t>
      </w:r>
      <w:r w:rsidRPr="008178BB">
        <w:rPr>
          <w:rFonts w:ascii="Arial" w:hAnsi="Arial" w:cs="Arial"/>
        </w:rPr>
        <w:t xml:space="preserve"> and regulatory requirements that apply to foods sold within the same province are not impacted by the proposed SFCR.</w:t>
      </w:r>
    </w:p>
    <w:p w:rsidR="00484375" w:rsidRPr="008178BB" w:rsidRDefault="00484375" w:rsidP="008A624B">
      <w:pPr>
        <w:pStyle w:val="NoSpacing"/>
        <w:rPr>
          <w:rFonts w:ascii="Arial" w:hAnsi="Arial" w:cs="Arial"/>
        </w:rPr>
      </w:pPr>
    </w:p>
    <w:p w:rsidR="003979D4" w:rsidRPr="008178BB" w:rsidRDefault="00B21DFC" w:rsidP="008A624B">
      <w:pPr>
        <w:pStyle w:val="NoSpacing"/>
        <w:rPr>
          <w:rFonts w:ascii="Arial" w:hAnsi="Arial" w:cs="Arial"/>
        </w:rPr>
      </w:pPr>
      <w:r w:rsidRPr="008178BB">
        <w:rPr>
          <w:rFonts w:ascii="Arial" w:hAnsi="Arial" w:cs="Arial"/>
        </w:rPr>
        <w:t xml:space="preserve">Businesses can find out if they would need a licence, </w:t>
      </w:r>
      <w:r w:rsidR="00EA6512" w:rsidRPr="008178BB">
        <w:rPr>
          <w:rFonts w:ascii="Arial" w:hAnsi="Arial" w:cs="Arial"/>
        </w:rPr>
        <w:t>P</w:t>
      </w:r>
      <w:r w:rsidRPr="008178BB">
        <w:rPr>
          <w:rFonts w:ascii="Arial" w:hAnsi="Arial" w:cs="Arial"/>
        </w:rPr>
        <w:t xml:space="preserve">reventive </w:t>
      </w:r>
      <w:r w:rsidR="00EA6512" w:rsidRPr="008178BB">
        <w:rPr>
          <w:rFonts w:ascii="Arial" w:hAnsi="Arial" w:cs="Arial"/>
        </w:rPr>
        <w:t>C</w:t>
      </w:r>
      <w:r w:rsidRPr="008178BB">
        <w:rPr>
          <w:rFonts w:ascii="Arial" w:hAnsi="Arial" w:cs="Arial"/>
        </w:rPr>
        <w:t xml:space="preserve">ontrol </w:t>
      </w:r>
      <w:r w:rsidR="00EA6512" w:rsidRPr="008178BB">
        <w:rPr>
          <w:rFonts w:ascii="Arial" w:hAnsi="Arial" w:cs="Arial"/>
        </w:rPr>
        <w:t>P</w:t>
      </w:r>
      <w:r w:rsidRPr="008178BB">
        <w:rPr>
          <w:rFonts w:ascii="Arial" w:hAnsi="Arial" w:cs="Arial"/>
        </w:rPr>
        <w:t xml:space="preserve">lan </w:t>
      </w:r>
      <w:r w:rsidR="00EA6512" w:rsidRPr="008178BB">
        <w:rPr>
          <w:rFonts w:ascii="Arial" w:hAnsi="Arial" w:cs="Arial"/>
        </w:rPr>
        <w:t>and/</w:t>
      </w:r>
      <w:r w:rsidRPr="008178BB">
        <w:rPr>
          <w:rFonts w:ascii="Arial" w:hAnsi="Arial" w:cs="Arial"/>
        </w:rPr>
        <w:t xml:space="preserve">or have traceability requirements by using interactive tools </w:t>
      </w:r>
      <w:r w:rsidR="006E12F8" w:rsidRPr="008178BB">
        <w:rPr>
          <w:rFonts w:ascii="Arial" w:hAnsi="Arial" w:cs="Arial"/>
        </w:rPr>
        <w:t>at</w:t>
      </w:r>
      <w:r w:rsidRPr="008178BB">
        <w:rPr>
          <w:rFonts w:ascii="Arial" w:hAnsi="Arial" w:cs="Arial"/>
        </w:rPr>
        <w:t xml:space="preserve"> </w:t>
      </w:r>
      <w:hyperlink r:id="rId8" w:history="1">
        <w:r w:rsidR="004833BE" w:rsidRPr="008178BB">
          <w:rPr>
            <w:rStyle w:val="Hyperlink"/>
            <w:rFonts w:ascii="Arial" w:eastAsia="Calibri" w:hAnsi="Arial" w:cs="Arial"/>
          </w:rPr>
          <w:t>inspection.gc.ca/</w:t>
        </w:r>
        <w:proofErr w:type="spellStart"/>
        <w:r w:rsidR="004833BE" w:rsidRPr="008178BB">
          <w:rPr>
            <w:rStyle w:val="Hyperlink"/>
            <w:rFonts w:ascii="Arial" w:eastAsia="Calibri" w:hAnsi="Arial" w:cs="Arial"/>
          </w:rPr>
          <w:t>safefood</w:t>
        </w:r>
        <w:proofErr w:type="spellEnd"/>
      </w:hyperlink>
      <w:r w:rsidRPr="008178BB">
        <w:rPr>
          <w:rFonts w:ascii="Arial" w:hAnsi="Arial" w:cs="Arial"/>
        </w:rPr>
        <w:t>.</w:t>
      </w:r>
    </w:p>
    <w:p w:rsidR="00E01A86" w:rsidRPr="008178BB" w:rsidRDefault="00E01A86" w:rsidP="008A624B">
      <w:pPr>
        <w:pStyle w:val="NoSpacing"/>
        <w:rPr>
          <w:rFonts w:ascii="Arial" w:hAnsi="Arial" w:cs="Arial"/>
        </w:rPr>
      </w:pPr>
    </w:p>
    <w:p w:rsidR="0003696C" w:rsidRPr="008178BB" w:rsidRDefault="00786FAE" w:rsidP="0003696C">
      <w:pPr>
        <w:pStyle w:val="NoSpacing"/>
        <w:rPr>
          <w:rFonts w:ascii="Arial" w:hAnsi="Arial" w:cs="Arial"/>
          <w:b/>
        </w:rPr>
      </w:pPr>
      <w:r w:rsidRPr="008178BB">
        <w:rPr>
          <w:rFonts w:ascii="Arial" w:hAnsi="Arial" w:cs="Arial"/>
          <w:b/>
        </w:rPr>
        <w:t>2</w:t>
      </w:r>
      <w:r w:rsidR="0003696C" w:rsidRPr="008178BB">
        <w:rPr>
          <w:rFonts w:ascii="Arial" w:hAnsi="Arial" w:cs="Arial"/>
          <w:b/>
        </w:rPr>
        <w:t xml:space="preserve">. How would </w:t>
      </w:r>
      <w:r w:rsidR="00601BB7" w:rsidRPr="008178BB">
        <w:rPr>
          <w:rFonts w:ascii="Arial" w:hAnsi="Arial" w:cs="Arial"/>
          <w:b/>
        </w:rPr>
        <w:t xml:space="preserve">the proposed regulations impact </w:t>
      </w:r>
      <w:r w:rsidR="005E2D39" w:rsidRPr="008178BB">
        <w:rPr>
          <w:rFonts w:ascii="Arial" w:hAnsi="Arial" w:cs="Arial"/>
          <w:b/>
        </w:rPr>
        <w:t>imported foods</w:t>
      </w:r>
      <w:r w:rsidR="00601BB7" w:rsidRPr="008178BB">
        <w:rPr>
          <w:rFonts w:ascii="Arial" w:hAnsi="Arial" w:cs="Arial"/>
          <w:b/>
        </w:rPr>
        <w:t xml:space="preserve"> and importers</w:t>
      </w:r>
      <w:r w:rsidR="0003696C" w:rsidRPr="008178BB">
        <w:rPr>
          <w:rFonts w:ascii="Arial" w:hAnsi="Arial" w:cs="Arial"/>
          <w:b/>
        </w:rPr>
        <w:t>?</w:t>
      </w:r>
    </w:p>
    <w:p w:rsidR="00DE1B04" w:rsidRPr="008178BB" w:rsidRDefault="00DE1B04" w:rsidP="00DE1B04">
      <w:pPr>
        <w:pStyle w:val="NoSpacing"/>
        <w:rPr>
          <w:rFonts w:ascii="Arial" w:hAnsi="Arial" w:cs="Arial"/>
          <w:iCs/>
          <w:lang w:val="en"/>
        </w:rPr>
      </w:pPr>
    </w:p>
    <w:p w:rsidR="0003696C" w:rsidRPr="008178BB" w:rsidRDefault="0003696C" w:rsidP="0003696C">
      <w:pPr>
        <w:pStyle w:val="NoSpacing"/>
        <w:rPr>
          <w:rFonts w:ascii="Arial" w:hAnsi="Arial" w:cs="Arial"/>
          <w:bCs/>
          <w:iCs/>
        </w:rPr>
      </w:pPr>
      <w:r w:rsidRPr="008178BB">
        <w:rPr>
          <w:rFonts w:ascii="Arial" w:hAnsi="Arial" w:cs="Arial"/>
        </w:rPr>
        <w:t xml:space="preserve">Importers would be required to meet the same requirements as </w:t>
      </w:r>
      <w:r w:rsidR="008958C9" w:rsidRPr="008178BB">
        <w:rPr>
          <w:rFonts w:ascii="Arial" w:hAnsi="Arial" w:cs="Arial"/>
        </w:rPr>
        <w:t>domestic producers</w:t>
      </w:r>
      <w:r w:rsidR="00601BB7" w:rsidRPr="008178BB">
        <w:rPr>
          <w:rFonts w:ascii="Arial" w:hAnsi="Arial" w:cs="Arial"/>
        </w:rPr>
        <w:t xml:space="preserve"> selling food in another province</w:t>
      </w:r>
      <w:r w:rsidR="008958C9" w:rsidRPr="008178BB">
        <w:rPr>
          <w:rFonts w:ascii="Arial" w:hAnsi="Arial" w:cs="Arial"/>
        </w:rPr>
        <w:t>, where applicable</w:t>
      </w:r>
      <w:r w:rsidR="00EA6512" w:rsidRPr="008178BB">
        <w:rPr>
          <w:rFonts w:ascii="Arial" w:hAnsi="Arial" w:cs="Arial"/>
        </w:rPr>
        <w:t>, such as obtaining</w:t>
      </w:r>
      <w:r w:rsidRPr="008178BB">
        <w:rPr>
          <w:rFonts w:ascii="Arial" w:hAnsi="Arial" w:cs="Arial"/>
        </w:rPr>
        <w:t xml:space="preserve"> a licence to import food</w:t>
      </w:r>
      <w:r w:rsidR="00035E23" w:rsidRPr="008178BB">
        <w:rPr>
          <w:rFonts w:ascii="Arial" w:hAnsi="Arial" w:cs="Arial"/>
        </w:rPr>
        <w:t xml:space="preserve"> into Canada</w:t>
      </w:r>
      <w:r w:rsidRPr="008178BB">
        <w:rPr>
          <w:rFonts w:ascii="Arial" w:hAnsi="Arial" w:cs="Arial"/>
        </w:rPr>
        <w:t xml:space="preserve">. In addition, they would be required to work with their foreign suppliers to control any potential risks to the food they import. </w:t>
      </w:r>
      <w:r w:rsidR="008958C9" w:rsidRPr="008178BB">
        <w:rPr>
          <w:rFonts w:ascii="Arial" w:hAnsi="Arial" w:cs="Arial"/>
        </w:rPr>
        <w:t>Importers would be required to have preventive controls in place; they</w:t>
      </w:r>
      <w:r w:rsidRPr="008178BB">
        <w:rPr>
          <w:rFonts w:ascii="Arial" w:hAnsi="Arial" w:cs="Arial"/>
        </w:rPr>
        <w:t xml:space="preserve"> would </w:t>
      </w:r>
      <w:r w:rsidR="008958C9" w:rsidRPr="008178BB">
        <w:rPr>
          <w:rFonts w:ascii="Arial" w:hAnsi="Arial" w:cs="Arial"/>
        </w:rPr>
        <w:t>need to</w:t>
      </w:r>
      <w:r w:rsidR="00E3697F" w:rsidRPr="008178BB">
        <w:rPr>
          <w:rFonts w:ascii="Arial" w:hAnsi="Arial" w:cs="Arial"/>
        </w:rPr>
        <w:t xml:space="preserve"> </w:t>
      </w:r>
      <w:r w:rsidRPr="008178BB">
        <w:rPr>
          <w:rFonts w:ascii="Arial" w:hAnsi="Arial" w:cs="Arial"/>
        </w:rPr>
        <w:t>know their food, know their foreign supplier, and clearly articulate in a written plan the steps they take to control potential risks to food. This means being aware of any hazards that pose a risk of contamination to the food</w:t>
      </w:r>
      <w:r w:rsidR="008958C9" w:rsidRPr="008178BB">
        <w:rPr>
          <w:rFonts w:ascii="Arial" w:hAnsi="Arial" w:cs="Arial"/>
        </w:rPr>
        <w:t>,</w:t>
      </w:r>
      <w:r w:rsidRPr="008178BB">
        <w:rPr>
          <w:rFonts w:ascii="Arial" w:hAnsi="Arial" w:cs="Arial"/>
        </w:rPr>
        <w:t xml:space="preserve"> ensuring that their suppliers are using safe conditions to prepare, store and transport their products and </w:t>
      </w:r>
      <w:r w:rsidR="00232527" w:rsidRPr="008178BB">
        <w:rPr>
          <w:rFonts w:ascii="Arial" w:hAnsi="Arial" w:cs="Arial"/>
        </w:rPr>
        <w:t>keeping this information</w:t>
      </w:r>
      <w:r w:rsidRPr="008178BB">
        <w:rPr>
          <w:rFonts w:ascii="Arial" w:hAnsi="Arial" w:cs="Arial"/>
        </w:rPr>
        <w:t xml:space="preserve"> in a written plan, known as the Preventive Control Plan. Importers would also</w:t>
      </w:r>
      <w:r w:rsidR="00601BB7" w:rsidRPr="008178BB">
        <w:rPr>
          <w:rFonts w:ascii="Arial" w:hAnsi="Arial" w:cs="Arial"/>
        </w:rPr>
        <w:t xml:space="preserve"> have to keep traceability records </w:t>
      </w:r>
      <w:r w:rsidR="00E85BC0" w:rsidRPr="008178BB">
        <w:rPr>
          <w:rFonts w:ascii="Arial" w:hAnsi="Arial" w:cs="Arial"/>
        </w:rPr>
        <w:t xml:space="preserve">identifying </w:t>
      </w:r>
      <w:r w:rsidR="00601BB7" w:rsidRPr="008178BB">
        <w:rPr>
          <w:rFonts w:ascii="Arial" w:hAnsi="Arial" w:cs="Arial"/>
        </w:rPr>
        <w:t>who the</w:t>
      </w:r>
      <w:r w:rsidR="00E85BC0" w:rsidRPr="008178BB">
        <w:rPr>
          <w:rFonts w:ascii="Arial" w:hAnsi="Arial" w:cs="Arial"/>
        </w:rPr>
        <w:t>y purchased food from and who they sold food to</w:t>
      </w:r>
      <w:r w:rsidR="00EA6512" w:rsidRPr="008178BB">
        <w:rPr>
          <w:rFonts w:ascii="Arial" w:hAnsi="Arial" w:cs="Arial"/>
          <w:bCs/>
          <w:iCs/>
        </w:rPr>
        <w:t>, similar to domestic producers.</w:t>
      </w:r>
    </w:p>
    <w:p w:rsidR="00E01A86" w:rsidRPr="008178BB" w:rsidRDefault="00E01A86" w:rsidP="0003696C">
      <w:pPr>
        <w:pStyle w:val="NoSpacing"/>
        <w:rPr>
          <w:rFonts w:ascii="Arial" w:hAnsi="Arial" w:cs="Arial"/>
        </w:rPr>
      </w:pPr>
    </w:p>
    <w:p w:rsidR="00CE6236" w:rsidRPr="008178BB" w:rsidRDefault="00CD78F9" w:rsidP="00CE6236">
      <w:pPr>
        <w:pStyle w:val="NoSpacing"/>
        <w:rPr>
          <w:rFonts w:ascii="Arial" w:hAnsi="Arial" w:cs="Arial"/>
          <w:b/>
        </w:rPr>
      </w:pPr>
      <w:r w:rsidRPr="008178BB">
        <w:rPr>
          <w:rFonts w:ascii="Arial" w:hAnsi="Arial" w:cs="Arial"/>
          <w:b/>
        </w:rPr>
        <w:t>3</w:t>
      </w:r>
      <w:r w:rsidR="00CE6236" w:rsidRPr="008178BB">
        <w:rPr>
          <w:rFonts w:ascii="Arial" w:hAnsi="Arial" w:cs="Arial"/>
          <w:b/>
        </w:rPr>
        <w:t>. When would the proposed regulations become law?</w:t>
      </w:r>
    </w:p>
    <w:p w:rsidR="00CE6236" w:rsidRPr="008178BB" w:rsidRDefault="00CE6236" w:rsidP="00CE6236">
      <w:pPr>
        <w:pStyle w:val="NoSpacing"/>
        <w:rPr>
          <w:rFonts w:ascii="Arial" w:hAnsi="Arial" w:cs="Arial"/>
          <w:color w:val="000000"/>
        </w:rPr>
      </w:pPr>
    </w:p>
    <w:p w:rsidR="00CE6236" w:rsidRPr="008178BB" w:rsidRDefault="00CE6236" w:rsidP="00CE6236">
      <w:pPr>
        <w:pStyle w:val="NoSpacing"/>
        <w:rPr>
          <w:rFonts w:ascii="Arial" w:hAnsi="Arial" w:cs="Arial"/>
        </w:rPr>
      </w:pPr>
      <w:r w:rsidRPr="008178BB">
        <w:rPr>
          <w:rFonts w:ascii="Arial" w:hAnsi="Arial" w:cs="Arial"/>
        </w:rPr>
        <w:t xml:space="preserve">The outcome of this public consultation will affect the timing of final publication in </w:t>
      </w:r>
      <w:r w:rsidRPr="008178BB">
        <w:rPr>
          <w:rFonts w:ascii="Arial" w:hAnsi="Arial" w:cs="Arial"/>
          <w:i/>
          <w:iCs/>
        </w:rPr>
        <w:t>Canada Gazette</w:t>
      </w:r>
      <w:r w:rsidRPr="008178BB">
        <w:rPr>
          <w:rFonts w:ascii="Arial" w:hAnsi="Arial" w:cs="Arial"/>
        </w:rPr>
        <w:t xml:space="preserve">, Part II (CGII) and the corresponding coming into force.  </w:t>
      </w:r>
    </w:p>
    <w:p w:rsidR="00B51415" w:rsidRPr="008178BB" w:rsidRDefault="00B51415" w:rsidP="008A624B">
      <w:pPr>
        <w:pStyle w:val="NoSpacing"/>
        <w:rPr>
          <w:rFonts w:ascii="Arial" w:hAnsi="Arial" w:cs="Arial"/>
        </w:rPr>
      </w:pPr>
    </w:p>
    <w:p w:rsidR="00B51415" w:rsidRPr="008178BB" w:rsidRDefault="0003696C" w:rsidP="008A624B">
      <w:pPr>
        <w:pStyle w:val="NoSpacing"/>
        <w:rPr>
          <w:rFonts w:ascii="Arial" w:hAnsi="Arial" w:cs="Arial"/>
          <w:b/>
        </w:rPr>
      </w:pPr>
      <w:r w:rsidRPr="008178BB">
        <w:rPr>
          <w:rFonts w:ascii="Arial" w:hAnsi="Arial" w:cs="Arial"/>
          <w:b/>
        </w:rPr>
        <w:t>IMPACT ON TRADE</w:t>
      </w:r>
    </w:p>
    <w:p w:rsidR="008A624B" w:rsidRPr="008178BB" w:rsidRDefault="00B216D9" w:rsidP="008A624B">
      <w:pPr>
        <w:pStyle w:val="NoSpacing"/>
        <w:rPr>
          <w:rStyle w:val="Heading2Char"/>
          <w:rFonts w:ascii="Arial" w:eastAsiaTheme="minorHAnsi" w:hAnsi="Arial" w:cs="Arial"/>
          <w:b w:val="0"/>
          <w:bCs w:val="0"/>
          <w:color w:val="auto"/>
          <w:sz w:val="22"/>
          <w:szCs w:val="22"/>
          <w:lang w:val="en-US"/>
        </w:rPr>
      </w:pPr>
      <w:r w:rsidRPr="008178BB">
        <w:rPr>
          <w:rFonts w:ascii="Arial" w:hAnsi="Arial" w:cs="Arial"/>
        </w:rPr>
        <w:br/>
      </w:r>
      <w:r w:rsidR="00CD78F9" w:rsidRPr="008178BB">
        <w:rPr>
          <w:rStyle w:val="Heading2Char"/>
          <w:rFonts w:ascii="Arial" w:eastAsiaTheme="minorHAnsi" w:hAnsi="Arial" w:cs="Arial"/>
          <w:bCs w:val="0"/>
          <w:color w:val="auto"/>
          <w:sz w:val="22"/>
          <w:szCs w:val="22"/>
          <w:lang w:val="en-US"/>
        </w:rPr>
        <w:t>4</w:t>
      </w:r>
      <w:r w:rsidRPr="008178BB">
        <w:rPr>
          <w:rStyle w:val="Heading2Char"/>
          <w:rFonts w:ascii="Arial" w:eastAsiaTheme="minorHAnsi" w:hAnsi="Arial" w:cs="Arial"/>
          <w:bCs w:val="0"/>
          <w:color w:val="auto"/>
          <w:sz w:val="22"/>
          <w:szCs w:val="22"/>
          <w:lang w:val="en-US"/>
        </w:rPr>
        <w:t>. How do the proposed SFCR compare internationally?</w:t>
      </w:r>
    </w:p>
    <w:p w:rsidR="00DE4140" w:rsidRPr="008178BB" w:rsidRDefault="00B216D9" w:rsidP="00DE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en-US" w:eastAsia="en-US"/>
        </w:rPr>
      </w:pPr>
      <w:r w:rsidRPr="008178BB">
        <w:rPr>
          <w:rStyle w:val="Heading2Char"/>
          <w:rFonts w:ascii="Arial" w:eastAsiaTheme="minorHAnsi" w:hAnsi="Arial" w:cs="Arial"/>
          <w:b w:val="0"/>
          <w:bCs w:val="0"/>
          <w:color w:val="auto"/>
          <w:sz w:val="22"/>
          <w:szCs w:val="22"/>
          <w:lang w:val="en-US"/>
        </w:rPr>
        <w:br/>
      </w:r>
      <w:r w:rsidR="00DE4140" w:rsidRPr="008178BB">
        <w:rPr>
          <w:rFonts w:ascii="Arial" w:eastAsiaTheme="minorHAnsi" w:hAnsi="Arial" w:cs="Arial"/>
          <w:sz w:val="22"/>
          <w:szCs w:val="22"/>
          <w:lang w:val="en-US" w:eastAsia="en-US"/>
        </w:rPr>
        <w:t>The proposed regulations reflect internationally recognized good manufacturing and hazard analysis and control practices</w:t>
      </w:r>
      <w:r w:rsidR="00C11E53" w:rsidRPr="008178BB">
        <w:rPr>
          <w:rFonts w:ascii="Arial" w:eastAsiaTheme="minorHAnsi" w:hAnsi="Arial" w:cs="Arial"/>
          <w:sz w:val="22"/>
          <w:szCs w:val="22"/>
          <w:lang w:val="en-US" w:eastAsia="en-US"/>
        </w:rPr>
        <w:t xml:space="preserve"> principles</w:t>
      </w:r>
      <w:r w:rsidR="00DE4140" w:rsidRPr="008178BB">
        <w:rPr>
          <w:rFonts w:ascii="Arial" w:eastAsiaTheme="minorHAnsi" w:hAnsi="Arial" w:cs="Arial"/>
          <w:sz w:val="22"/>
          <w:szCs w:val="22"/>
          <w:lang w:val="en-US" w:eastAsia="en-US"/>
        </w:rPr>
        <w:t xml:space="preserve">. By adopting </w:t>
      </w:r>
      <w:r w:rsidR="00232527" w:rsidRPr="008178BB">
        <w:rPr>
          <w:rFonts w:ascii="Arial" w:eastAsiaTheme="minorHAnsi" w:hAnsi="Arial" w:cs="Arial"/>
          <w:sz w:val="22"/>
          <w:szCs w:val="22"/>
          <w:lang w:val="en-US" w:eastAsia="en-US"/>
        </w:rPr>
        <w:t>CODEX</w:t>
      </w:r>
      <w:r w:rsidR="00E85BC0" w:rsidRPr="008178BB">
        <w:rPr>
          <w:rFonts w:ascii="Arial" w:eastAsiaTheme="minorHAnsi" w:hAnsi="Arial" w:cs="Arial"/>
          <w:sz w:val="22"/>
          <w:szCs w:val="22"/>
          <w:lang w:val="en-US" w:eastAsia="en-US"/>
        </w:rPr>
        <w:t xml:space="preserve"> </w:t>
      </w:r>
      <w:r w:rsidR="00035E23" w:rsidRPr="008178BB">
        <w:rPr>
          <w:rFonts w:ascii="Arial" w:eastAsiaTheme="minorHAnsi" w:hAnsi="Arial" w:cs="Arial"/>
          <w:sz w:val="22"/>
          <w:szCs w:val="22"/>
          <w:lang w:val="en-US" w:eastAsia="en-US"/>
        </w:rPr>
        <w:t xml:space="preserve">Alimentarius food safety </w:t>
      </w:r>
      <w:r w:rsidR="00DE4140" w:rsidRPr="008178BB">
        <w:rPr>
          <w:rFonts w:ascii="Arial" w:eastAsiaTheme="minorHAnsi" w:hAnsi="Arial" w:cs="Arial"/>
          <w:sz w:val="22"/>
          <w:szCs w:val="22"/>
          <w:lang w:val="en-US" w:eastAsia="en-US"/>
        </w:rPr>
        <w:t>standards, Canada would demonstrate its commitment to these international standards and best practices.</w:t>
      </w:r>
    </w:p>
    <w:p w:rsidR="00DE4140" w:rsidRPr="008178BB" w:rsidRDefault="00DE4140" w:rsidP="00DE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en-US" w:eastAsia="en-US"/>
        </w:rPr>
      </w:pPr>
    </w:p>
    <w:p w:rsidR="00DE4140" w:rsidRPr="008178BB" w:rsidRDefault="00DE4140" w:rsidP="00DE4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en-US" w:eastAsia="en-US"/>
        </w:rPr>
      </w:pPr>
      <w:r w:rsidRPr="008178BB">
        <w:rPr>
          <w:rFonts w:ascii="Arial" w:eastAsiaTheme="minorHAnsi" w:hAnsi="Arial" w:cs="Arial"/>
          <w:sz w:val="22"/>
          <w:szCs w:val="22"/>
          <w:lang w:val="en-US" w:eastAsia="en-US"/>
        </w:rPr>
        <w:t>Many of Canada's trading partners are moving to preventive and systems-based approaches to manage risk and are undertaking regulatory reviews to make preventive controls central components of food safety legislation. They include the US, the European Union, Australia, and New Zealand. The proposed regulations would increase regulatory alignment with these major trading partners.</w:t>
      </w:r>
    </w:p>
    <w:p w:rsidR="00DE4140" w:rsidRPr="008178BB" w:rsidRDefault="00DE4140" w:rsidP="008A624B">
      <w:pPr>
        <w:pStyle w:val="NoSpacing"/>
        <w:rPr>
          <w:rFonts w:ascii="Arial" w:hAnsi="Arial" w:cs="Arial"/>
          <w:lang w:val="en-CA"/>
        </w:rPr>
      </w:pPr>
    </w:p>
    <w:p w:rsidR="00CD78F9" w:rsidRPr="008178BB" w:rsidRDefault="00CD78F9" w:rsidP="008A624B">
      <w:pPr>
        <w:pStyle w:val="NoSpacing"/>
        <w:rPr>
          <w:rFonts w:ascii="Arial" w:hAnsi="Arial" w:cs="Arial"/>
          <w:lang w:val="en-CA"/>
        </w:rPr>
      </w:pPr>
    </w:p>
    <w:p w:rsidR="00D20524" w:rsidRDefault="00D20524" w:rsidP="008A624B">
      <w:pPr>
        <w:pStyle w:val="NoSpacing"/>
        <w:rPr>
          <w:rFonts w:ascii="Arial" w:hAnsi="Arial" w:cs="Arial"/>
          <w:b/>
        </w:rPr>
      </w:pPr>
    </w:p>
    <w:p w:rsidR="00D20524" w:rsidRDefault="00D20524" w:rsidP="008A624B">
      <w:pPr>
        <w:pStyle w:val="NoSpacing"/>
        <w:rPr>
          <w:rFonts w:ascii="Arial" w:hAnsi="Arial" w:cs="Arial"/>
          <w:b/>
        </w:rPr>
      </w:pPr>
    </w:p>
    <w:p w:rsidR="00D20524" w:rsidRDefault="00D20524" w:rsidP="008A624B">
      <w:pPr>
        <w:pStyle w:val="NoSpacing"/>
        <w:rPr>
          <w:rFonts w:ascii="Arial" w:hAnsi="Arial" w:cs="Arial"/>
          <w:b/>
        </w:rPr>
      </w:pPr>
    </w:p>
    <w:p w:rsidR="008A624B" w:rsidRPr="008178BB" w:rsidRDefault="00CD78F9" w:rsidP="008A624B">
      <w:pPr>
        <w:pStyle w:val="NoSpacing"/>
        <w:rPr>
          <w:rFonts w:ascii="Arial" w:hAnsi="Arial" w:cs="Arial"/>
          <w:b/>
        </w:rPr>
      </w:pPr>
      <w:r w:rsidRPr="008178BB">
        <w:rPr>
          <w:rFonts w:ascii="Arial" w:hAnsi="Arial" w:cs="Arial"/>
          <w:b/>
        </w:rPr>
        <w:t>5</w:t>
      </w:r>
      <w:r w:rsidR="00B216D9" w:rsidRPr="008178BB">
        <w:rPr>
          <w:rFonts w:ascii="Arial" w:hAnsi="Arial" w:cs="Arial"/>
          <w:b/>
        </w:rPr>
        <w:t xml:space="preserve">. Are the proposed </w:t>
      </w:r>
      <w:r w:rsidR="00DE4140" w:rsidRPr="008178BB">
        <w:rPr>
          <w:rFonts w:ascii="Arial" w:hAnsi="Arial" w:cs="Arial"/>
          <w:b/>
        </w:rPr>
        <w:t xml:space="preserve">regulations </w:t>
      </w:r>
      <w:r w:rsidR="00B216D9" w:rsidRPr="008178BB">
        <w:rPr>
          <w:rFonts w:ascii="Arial" w:hAnsi="Arial" w:cs="Arial"/>
          <w:b/>
        </w:rPr>
        <w:t xml:space="preserve">and U.S. food safety rules aligned? </w:t>
      </w:r>
    </w:p>
    <w:p w:rsidR="008A624B" w:rsidRPr="008178BB" w:rsidRDefault="008A624B" w:rsidP="008A624B">
      <w:pPr>
        <w:pStyle w:val="NoSpacing"/>
        <w:rPr>
          <w:rFonts w:ascii="Arial" w:hAnsi="Arial" w:cs="Arial"/>
        </w:rPr>
      </w:pPr>
    </w:p>
    <w:p w:rsidR="008E4AD8" w:rsidRPr="008178BB" w:rsidRDefault="008E4AD8" w:rsidP="008E4AD8">
      <w:pPr>
        <w:pStyle w:val="NoSpacing"/>
        <w:rPr>
          <w:rFonts w:ascii="Arial" w:hAnsi="Arial" w:cs="Arial"/>
        </w:rPr>
      </w:pPr>
      <w:r w:rsidRPr="008178BB">
        <w:rPr>
          <w:rFonts w:ascii="Arial" w:hAnsi="Arial" w:cs="Arial"/>
        </w:rPr>
        <w:t xml:space="preserve">Yes. In 2011, the United States (U.S.) introduced the Food Safety Modernization Act (FSMA) that grants new and expanded authorities to the U.S. Food and Drug Administration (FDA) to enhance the safety of the U.S. food supply. The U.S. FDA has since finalized associated regulations that specify requirements for establishment registration, preventive controls, imports, and traceability.  The CFIA and the U.S. FDA have worked together closely during the development of their respective laws and regulations to ensure that policy approaches are aligned. This collaboration has resulted in two proposed food safety regulatory frameworks that emphasize the importance of prevention and industry’s primary role in preparing and importing safe food.  </w:t>
      </w:r>
    </w:p>
    <w:p w:rsidR="008E4AD8" w:rsidRPr="008178BB" w:rsidRDefault="008E4AD8" w:rsidP="008E4AD8">
      <w:pPr>
        <w:pStyle w:val="NoSpacing"/>
        <w:rPr>
          <w:rFonts w:ascii="Arial" w:hAnsi="Arial" w:cs="Arial"/>
        </w:rPr>
      </w:pPr>
    </w:p>
    <w:p w:rsidR="008E4AD8" w:rsidRPr="008178BB" w:rsidRDefault="008E4AD8" w:rsidP="008E4AD8">
      <w:pPr>
        <w:pStyle w:val="NoSpacing"/>
        <w:rPr>
          <w:rFonts w:ascii="Arial" w:hAnsi="Arial" w:cs="Arial"/>
        </w:rPr>
      </w:pPr>
      <w:r w:rsidRPr="008178BB">
        <w:rPr>
          <w:rFonts w:ascii="Arial" w:hAnsi="Arial" w:cs="Arial"/>
        </w:rPr>
        <w:t xml:space="preserve">Under the new Canadian and U.S. regulations, food businesses will need a licence (issued by the CFIA in Canada) or be registered (by the FDA in the U.S.). Facilities in both countries will need to follow good manufacturing practices, and meet traceability requirements. They will also have to do a hazard analysis of their activities and set preventive controls. </w:t>
      </w:r>
    </w:p>
    <w:p w:rsidR="008E4AD8" w:rsidRPr="008178BB" w:rsidRDefault="008E4AD8" w:rsidP="008E4AD8">
      <w:pPr>
        <w:pStyle w:val="NoSpacing"/>
        <w:rPr>
          <w:rFonts w:ascii="Arial" w:hAnsi="Arial" w:cs="Arial"/>
        </w:rPr>
      </w:pPr>
    </w:p>
    <w:p w:rsidR="008E4AD8" w:rsidRPr="008178BB" w:rsidRDefault="008E4AD8" w:rsidP="008E4AD8">
      <w:pPr>
        <w:pStyle w:val="NoSpacing"/>
        <w:rPr>
          <w:rFonts w:ascii="Arial" w:hAnsi="Arial" w:cs="Arial"/>
        </w:rPr>
      </w:pPr>
      <w:r w:rsidRPr="008178BB">
        <w:rPr>
          <w:rFonts w:ascii="Arial" w:hAnsi="Arial" w:cs="Arial"/>
        </w:rPr>
        <w:t xml:space="preserve">There are some differences between the two sets of regulations because of differences in how Canada and U.S. </w:t>
      </w:r>
      <w:r w:rsidR="002B4549" w:rsidRPr="008178BB">
        <w:rPr>
          <w:rFonts w:ascii="Arial" w:hAnsi="Arial" w:cs="Arial"/>
        </w:rPr>
        <w:t xml:space="preserve">food safety laws </w:t>
      </w:r>
      <w:r w:rsidRPr="008178BB">
        <w:rPr>
          <w:rFonts w:ascii="Arial" w:hAnsi="Arial" w:cs="Arial"/>
        </w:rPr>
        <w:t xml:space="preserve">work. For example, the U.S. Food Safety Modernization Act applies to all food facilities that serve the U.S. market, including those located in foreign countries and those who make and sell food within the same state, but it excludes meat, poultry, processed egg products and catfish (because they are subject to a different U.S. law). Canada’s </w:t>
      </w:r>
      <w:r w:rsidRPr="008178BB">
        <w:rPr>
          <w:rFonts w:ascii="Arial" w:hAnsi="Arial" w:cs="Arial"/>
          <w:i/>
        </w:rPr>
        <w:t>Safe Food for Canadians Act</w:t>
      </w:r>
      <w:r w:rsidRPr="008178BB">
        <w:rPr>
          <w:rFonts w:ascii="Arial" w:hAnsi="Arial" w:cs="Arial"/>
        </w:rPr>
        <w:t xml:space="preserve"> covers all types of food, but only applies to businesses that import food, export food, or prepare it for interprovincial trade. </w:t>
      </w:r>
    </w:p>
    <w:p w:rsidR="008E4AD8" w:rsidRPr="008178BB" w:rsidRDefault="008E4AD8" w:rsidP="008E4AD8">
      <w:pPr>
        <w:pStyle w:val="NoSpacing"/>
        <w:rPr>
          <w:rFonts w:ascii="Arial" w:hAnsi="Arial" w:cs="Arial"/>
        </w:rPr>
      </w:pPr>
      <w:r w:rsidRPr="008178BB">
        <w:rPr>
          <w:rFonts w:ascii="Arial" w:hAnsi="Arial" w:cs="Arial"/>
        </w:rPr>
        <w:br/>
        <w:t xml:space="preserve">Canada and the U.S. recognize the need to support small businesses in meeting the new food safety requirements and are providing assistance through plain language guidance documents, interactive tools, and phased implementation approach.  </w:t>
      </w:r>
    </w:p>
    <w:p w:rsidR="007C5832" w:rsidRPr="008178BB" w:rsidRDefault="007C5832" w:rsidP="008A624B">
      <w:pPr>
        <w:pStyle w:val="NoSpacing"/>
        <w:rPr>
          <w:rFonts w:ascii="Arial" w:hAnsi="Arial" w:cs="Arial"/>
          <w:b/>
        </w:rPr>
      </w:pPr>
    </w:p>
    <w:p w:rsidR="008A624B" w:rsidRPr="008178BB" w:rsidRDefault="00E01A86" w:rsidP="008A624B">
      <w:pPr>
        <w:pStyle w:val="NoSpacing"/>
        <w:rPr>
          <w:rFonts w:ascii="Arial" w:hAnsi="Arial" w:cs="Arial"/>
          <w:b/>
        </w:rPr>
      </w:pPr>
      <w:r w:rsidRPr="008178BB">
        <w:rPr>
          <w:rFonts w:ascii="Arial" w:hAnsi="Arial" w:cs="Arial"/>
          <w:b/>
        </w:rPr>
        <w:t>SUPPORT FOR BUSINESSES</w:t>
      </w:r>
    </w:p>
    <w:p w:rsidR="00E01A86" w:rsidRPr="008178BB" w:rsidRDefault="00E01A86" w:rsidP="008A624B">
      <w:pPr>
        <w:pStyle w:val="NoSpacing"/>
        <w:rPr>
          <w:rFonts w:ascii="Arial" w:hAnsi="Arial" w:cs="Arial"/>
        </w:rPr>
      </w:pPr>
    </w:p>
    <w:p w:rsidR="00E01A86" w:rsidRPr="008178BB" w:rsidRDefault="00CD78F9" w:rsidP="00E01A86">
      <w:pPr>
        <w:autoSpaceDE/>
        <w:autoSpaceDN/>
        <w:adjustRightInd/>
        <w:rPr>
          <w:rFonts w:ascii="Arial" w:hAnsi="Arial" w:cs="Arial"/>
          <w:b/>
          <w:sz w:val="22"/>
          <w:szCs w:val="22"/>
        </w:rPr>
      </w:pPr>
      <w:r w:rsidRPr="008178BB">
        <w:rPr>
          <w:rFonts w:ascii="Arial" w:hAnsi="Arial" w:cs="Arial"/>
          <w:b/>
          <w:sz w:val="22"/>
          <w:szCs w:val="22"/>
        </w:rPr>
        <w:t>6</w:t>
      </w:r>
      <w:r w:rsidR="00E01A86" w:rsidRPr="008178BB">
        <w:rPr>
          <w:rFonts w:ascii="Arial" w:hAnsi="Arial" w:cs="Arial"/>
          <w:b/>
          <w:sz w:val="22"/>
          <w:szCs w:val="22"/>
        </w:rPr>
        <w:t>. Will the proposed regulations place too much burden on importers and small businesses that are not familiar with the CFIA and/or have limited knowledge of preventive controls?</w:t>
      </w:r>
      <w:r w:rsidR="00E01A86" w:rsidRPr="008178BB">
        <w:rPr>
          <w:rFonts w:ascii="Arial" w:hAnsi="Arial" w:cs="Arial"/>
          <w:b/>
          <w:sz w:val="22"/>
          <w:szCs w:val="22"/>
        </w:rPr>
        <w:br/>
      </w:r>
    </w:p>
    <w:p w:rsidR="00E01A86" w:rsidRPr="008178BB" w:rsidRDefault="00E01A86" w:rsidP="00E01A86">
      <w:pPr>
        <w:autoSpaceDE/>
        <w:autoSpaceDN/>
        <w:adjustRightInd/>
        <w:rPr>
          <w:rFonts w:ascii="Arial" w:hAnsi="Arial" w:cs="Arial"/>
          <w:sz w:val="22"/>
          <w:szCs w:val="22"/>
        </w:rPr>
      </w:pPr>
      <w:r w:rsidRPr="008178BB">
        <w:rPr>
          <w:rFonts w:ascii="Arial" w:hAnsi="Arial" w:cs="Arial"/>
          <w:sz w:val="22"/>
          <w:szCs w:val="22"/>
        </w:rPr>
        <w:t xml:space="preserve">As part of its proposal, the CFIA has addressed small business concerns by providing an exemption from the requirement to maintain a written </w:t>
      </w:r>
      <w:r w:rsidR="00EA6512" w:rsidRPr="008178BB">
        <w:rPr>
          <w:rFonts w:ascii="Arial" w:hAnsi="Arial" w:cs="Arial"/>
          <w:sz w:val="22"/>
          <w:szCs w:val="22"/>
        </w:rPr>
        <w:t>P</w:t>
      </w:r>
      <w:r w:rsidRPr="008178BB">
        <w:rPr>
          <w:rFonts w:ascii="Arial" w:hAnsi="Arial" w:cs="Arial"/>
          <w:sz w:val="22"/>
          <w:szCs w:val="22"/>
        </w:rPr>
        <w:t xml:space="preserve">reventive </w:t>
      </w:r>
      <w:r w:rsidR="00EA6512" w:rsidRPr="008178BB">
        <w:rPr>
          <w:rFonts w:ascii="Arial" w:hAnsi="Arial" w:cs="Arial"/>
          <w:sz w:val="22"/>
          <w:szCs w:val="22"/>
        </w:rPr>
        <w:t>C</w:t>
      </w:r>
      <w:r w:rsidRPr="008178BB">
        <w:rPr>
          <w:rFonts w:ascii="Arial" w:hAnsi="Arial" w:cs="Arial"/>
          <w:sz w:val="22"/>
          <w:szCs w:val="22"/>
        </w:rPr>
        <w:t xml:space="preserve">ontrol </w:t>
      </w:r>
      <w:r w:rsidR="00EA6512" w:rsidRPr="008178BB">
        <w:rPr>
          <w:rFonts w:ascii="Arial" w:hAnsi="Arial" w:cs="Arial"/>
          <w:sz w:val="22"/>
          <w:szCs w:val="22"/>
        </w:rPr>
        <w:t>P</w:t>
      </w:r>
      <w:r w:rsidRPr="008178BB">
        <w:rPr>
          <w:rFonts w:ascii="Arial" w:hAnsi="Arial" w:cs="Arial"/>
          <w:sz w:val="22"/>
          <w:szCs w:val="22"/>
        </w:rPr>
        <w:t xml:space="preserve">lan for businesses in some sectors with gross annual sales of food under $30,000. Small businesses will also be given additional time to comply with the regulations with staggered coming into force dates. Plain language guidance material and digital tools </w:t>
      </w:r>
      <w:r w:rsidR="00B21DFC" w:rsidRPr="008178BB">
        <w:rPr>
          <w:rFonts w:ascii="Arial" w:hAnsi="Arial" w:cs="Arial"/>
          <w:sz w:val="22"/>
          <w:szCs w:val="22"/>
        </w:rPr>
        <w:t>will continue to be developed</w:t>
      </w:r>
      <w:r w:rsidRPr="008178BB">
        <w:rPr>
          <w:rFonts w:ascii="Arial" w:hAnsi="Arial" w:cs="Arial"/>
          <w:sz w:val="22"/>
          <w:szCs w:val="22"/>
        </w:rPr>
        <w:t xml:space="preserve"> to help food businesses in meeting the new requirements.</w:t>
      </w:r>
    </w:p>
    <w:p w:rsidR="00E01A86" w:rsidRPr="008178BB" w:rsidRDefault="00E01A86" w:rsidP="00E01A86">
      <w:pPr>
        <w:autoSpaceDE/>
        <w:autoSpaceDN/>
        <w:adjustRightInd/>
        <w:rPr>
          <w:rFonts w:ascii="Arial" w:hAnsi="Arial" w:cs="Arial"/>
          <w:sz w:val="22"/>
          <w:szCs w:val="22"/>
        </w:rPr>
      </w:pPr>
    </w:p>
    <w:p w:rsidR="00E01A86" w:rsidRPr="008178BB" w:rsidRDefault="00CD78F9" w:rsidP="00E01A86">
      <w:pPr>
        <w:autoSpaceDE/>
        <w:autoSpaceDN/>
        <w:adjustRightInd/>
        <w:rPr>
          <w:rFonts w:ascii="Arial" w:hAnsi="Arial" w:cs="Arial"/>
          <w:b/>
          <w:sz w:val="22"/>
          <w:szCs w:val="22"/>
        </w:rPr>
      </w:pPr>
      <w:r w:rsidRPr="008178BB">
        <w:rPr>
          <w:rFonts w:ascii="Arial" w:hAnsi="Arial" w:cs="Arial"/>
          <w:b/>
          <w:sz w:val="22"/>
          <w:szCs w:val="22"/>
        </w:rPr>
        <w:t>7</w:t>
      </w:r>
      <w:r w:rsidR="00E01A86" w:rsidRPr="008178BB">
        <w:rPr>
          <w:rFonts w:ascii="Arial" w:hAnsi="Arial" w:cs="Arial"/>
          <w:b/>
          <w:sz w:val="22"/>
          <w:szCs w:val="22"/>
        </w:rPr>
        <w:t xml:space="preserve">. </w:t>
      </w:r>
      <w:r w:rsidR="00786FAE" w:rsidRPr="008178BB">
        <w:rPr>
          <w:rFonts w:ascii="Arial" w:hAnsi="Arial" w:cs="Arial"/>
          <w:b/>
          <w:sz w:val="22"/>
          <w:szCs w:val="22"/>
        </w:rPr>
        <w:t>Will</w:t>
      </w:r>
      <w:r w:rsidR="00E01A86" w:rsidRPr="008178BB">
        <w:rPr>
          <w:rFonts w:ascii="Arial" w:hAnsi="Arial" w:cs="Arial"/>
          <w:b/>
          <w:sz w:val="22"/>
          <w:szCs w:val="22"/>
        </w:rPr>
        <w:t xml:space="preserve"> food businesses </w:t>
      </w:r>
      <w:r w:rsidR="00786FAE" w:rsidRPr="008178BB">
        <w:rPr>
          <w:rFonts w:ascii="Arial" w:hAnsi="Arial" w:cs="Arial"/>
          <w:b/>
          <w:sz w:val="22"/>
          <w:szCs w:val="22"/>
        </w:rPr>
        <w:t xml:space="preserve">have enough time </w:t>
      </w:r>
      <w:r w:rsidR="00E01A86" w:rsidRPr="008178BB">
        <w:rPr>
          <w:rFonts w:ascii="Arial" w:hAnsi="Arial" w:cs="Arial"/>
          <w:b/>
          <w:sz w:val="22"/>
          <w:szCs w:val="22"/>
        </w:rPr>
        <w:t xml:space="preserve">to prepare and implement a </w:t>
      </w:r>
      <w:r w:rsidR="00786FAE" w:rsidRPr="008178BB">
        <w:rPr>
          <w:rFonts w:ascii="Arial" w:hAnsi="Arial" w:cs="Arial"/>
          <w:b/>
          <w:sz w:val="22"/>
          <w:szCs w:val="22"/>
        </w:rPr>
        <w:t>P</w:t>
      </w:r>
      <w:r w:rsidR="00E01A86" w:rsidRPr="008178BB">
        <w:rPr>
          <w:rFonts w:ascii="Arial" w:hAnsi="Arial" w:cs="Arial"/>
          <w:b/>
          <w:sz w:val="22"/>
          <w:szCs w:val="22"/>
        </w:rPr>
        <w:t xml:space="preserve">reventive </w:t>
      </w:r>
      <w:r w:rsidR="00786FAE" w:rsidRPr="008178BB">
        <w:rPr>
          <w:rFonts w:ascii="Arial" w:hAnsi="Arial" w:cs="Arial"/>
          <w:b/>
          <w:sz w:val="22"/>
          <w:szCs w:val="22"/>
        </w:rPr>
        <w:t>Control P</w:t>
      </w:r>
      <w:r w:rsidR="00E01A86" w:rsidRPr="008178BB">
        <w:rPr>
          <w:rFonts w:ascii="Arial" w:hAnsi="Arial" w:cs="Arial"/>
          <w:b/>
          <w:sz w:val="22"/>
          <w:szCs w:val="22"/>
        </w:rPr>
        <w:t>la</w:t>
      </w:r>
      <w:r w:rsidR="00786FAE" w:rsidRPr="008178BB">
        <w:rPr>
          <w:rFonts w:ascii="Arial" w:hAnsi="Arial" w:cs="Arial"/>
          <w:b/>
          <w:sz w:val="22"/>
          <w:szCs w:val="22"/>
        </w:rPr>
        <w:t>n?</w:t>
      </w:r>
      <w:r w:rsidR="00E01A86" w:rsidRPr="008178BB">
        <w:rPr>
          <w:rFonts w:ascii="Arial" w:hAnsi="Arial" w:cs="Arial"/>
          <w:b/>
          <w:sz w:val="22"/>
          <w:szCs w:val="22"/>
        </w:rPr>
        <w:br/>
      </w:r>
    </w:p>
    <w:p w:rsidR="00E01A86" w:rsidRPr="008178BB" w:rsidRDefault="008E4AD8" w:rsidP="00E01A86">
      <w:pPr>
        <w:autoSpaceDE/>
        <w:autoSpaceDN/>
        <w:adjustRightInd/>
        <w:rPr>
          <w:rFonts w:ascii="Arial" w:hAnsi="Arial" w:cs="Arial"/>
          <w:sz w:val="22"/>
          <w:szCs w:val="22"/>
        </w:rPr>
      </w:pPr>
      <w:r w:rsidRPr="008178BB">
        <w:rPr>
          <w:rFonts w:ascii="Arial" w:hAnsi="Arial" w:cs="Arial"/>
          <w:iCs/>
          <w:sz w:val="22"/>
          <w:szCs w:val="22"/>
        </w:rPr>
        <w:t xml:space="preserve">Yes. </w:t>
      </w:r>
      <w:r w:rsidR="00E01A86" w:rsidRPr="008178BB">
        <w:rPr>
          <w:rFonts w:ascii="Arial" w:hAnsi="Arial" w:cs="Arial"/>
          <w:iCs/>
          <w:sz w:val="22"/>
          <w:szCs w:val="22"/>
        </w:rPr>
        <w:t>The CFIA recognises the challenges that some small businesses may have in meeting the administrative and compliance requirements related to the proposed regulations.</w:t>
      </w:r>
      <w:r w:rsidR="00786FAE" w:rsidRPr="008178BB">
        <w:rPr>
          <w:rFonts w:ascii="Arial" w:hAnsi="Arial" w:cs="Arial"/>
          <w:iCs/>
          <w:sz w:val="22"/>
          <w:szCs w:val="22"/>
        </w:rPr>
        <w:t xml:space="preserve"> </w:t>
      </w:r>
      <w:r w:rsidR="00E01A86" w:rsidRPr="008178BB">
        <w:rPr>
          <w:rFonts w:ascii="Arial" w:hAnsi="Arial" w:cs="Arial"/>
          <w:iCs/>
          <w:sz w:val="22"/>
          <w:szCs w:val="22"/>
        </w:rPr>
        <w:t xml:space="preserve">To help address this, </w:t>
      </w:r>
      <w:r w:rsidR="00E01A86" w:rsidRPr="008178BB">
        <w:rPr>
          <w:rFonts w:ascii="Arial" w:hAnsi="Arial" w:cs="Arial"/>
          <w:sz w:val="22"/>
          <w:szCs w:val="22"/>
        </w:rPr>
        <w:t>a staged implementation approach for coming into force for small businesses to comply with the proposed preventive control requirements has been proposed; refer to the table below.</w:t>
      </w:r>
    </w:p>
    <w:p w:rsidR="00E01A86" w:rsidRPr="008178BB" w:rsidRDefault="00E01A86" w:rsidP="00E01A86">
      <w:pPr>
        <w:pStyle w:val="NoSpacing"/>
        <w:rPr>
          <w:rFonts w:ascii="Arial" w:hAnsi="Arial" w:cs="Arial"/>
        </w:rPr>
      </w:pPr>
    </w:p>
    <w:p w:rsidR="00CD78F9" w:rsidRPr="008178BB" w:rsidRDefault="00CD78F9" w:rsidP="00E01A86">
      <w:pPr>
        <w:pStyle w:val="NoSpacing"/>
        <w:rPr>
          <w:rFonts w:ascii="Arial" w:hAnsi="Arial" w:cs="Arial"/>
        </w:rPr>
      </w:pPr>
    </w:p>
    <w:p w:rsidR="00CD78F9" w:rsidRPr="008178BB" w:rsidRDefault="00CD78F9" w:rsidP="00E01A86">
      <w:pPr>
        <w:pStyle w:val="NoSpacing"/>
        <w:rPr>
          <w:rFonts w:ascii="Arial" w:hAnsi="Arial" w:cs="Arial"/>
        </w:rPr>
      </w:pPr>
    </w:p>
    <w:p w:rsidR="00CD78F9" w:rsidRPr="008178BB" w:rsidRDefault="00CD78F9" w:rsidP="00E01A86">
      <w:pPr>
        <w:pStyle w:val="NoSpacing"/>
        <w:rPr>
          <w:rFonts w:ascii="Arial" w:hAnsi="Arial" w:cs="Arial"/>
        </w:rPr>
      </w:pPr>
    </w:p>
    <w:p w:rsidR="00E01A86" w:rsidRPr="008178BB" w:rsidRDefault="00E01A86" w:rsidP="00E01A86">
      <w:pPr>
        <w:pStyle w:val="NoSpacing"/>
        <w:rPr>
          <w:rFonts w:ascii="Arial" w:hAnsi="Arial" w:cs="Arial"/>
        </w:rPr>
      </w:pPr>
      <w:r w:rsidRPr="008178BB">
        <w:rPr>
          <w:rFonts w:ascii="Arial" w:hAnsi="Arial" w:cs="Arial"/>
        </w:rPr>
        <w:t>Table 1: Proposed staggered implementation approach for Part 4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292"/>
        <w:gridCol w:w="1620"/>
        <w:gridCol w:w="1440"/>
        <w:gridCol w:w="1350"/>
        <w:gridCol w:w="1278"/>
      </w:tblGrid>
      <w:tr w:rsidR="00E01A86" w:rsidRPr="008178BB" w:rsidTr="006F20FC">
        <w:tc>
          <w:tcPr>
            <w:tcW w:w="1596" w:type="dxa"/>
            <w:shd w:val="clear" w:color="auto" w:fill="auto"/>
          </w:tcPr>
          <w:p w:rsidR="00E01A86" w:rsidRPr="008178BB" w:rsidRDefault="00E01A86" w:rsidP="006F20FC">
            <w:pPr>
              <w:pStyle w:val="NoSpacing"/>
              <w:jc w:val="center"/>
              <w:rPr>
                <w:rFonts w:ascii="Arial" w:hAnsi="Arial" w:cs="Arial"/>
              </w:rPr>
            </w:pPr>
          </w:p>
        </w:tc>
        <w:tc>
          <w:tcPr>
            <w:tcW w:w="2292"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Meat, Fish, Eggs, Processed Eggs, Dairy, Processed Fruit or Vegetable Products, Honey, Maple</w:t>
            </w:r>
          </w:p>
        </w:tc>
        <w:tc>
          <w:tcPr>
            <w:tcW w:w="162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Fresh Fruits and Vegetables</w:t>
            </w:r>
          </w:p>
        </w:tc>
        <w:tc>
          <w:tcPr>
            <w:tcW w:w="144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All Other Foods</w:t>
            </w:r>
          </w:p>
          <w:p w:rsidR="00E01A86" w:rsidRPr="008178BB" w:rsidRDefault="00E01A86" w:rsidP="006F20FC">
            <w:pPr>
              <w:pStyle w:val="NoSpacing"/>
              <w:jc w:val="center"/>
              <w:rPr>
                <w:rFonts w:ascii="Arial" w:hAnsi="Arial" w:cs="Arial"/>
              </w:rPr>
            </w:pPr>
          </w:p>
          <w:p w:rsidR="00E01A86" w:rsidRPr="008178BB" w:rsidRDefault="00E01A86" w:rsidP="006F20FC">
            <w:pPr>
              <w:pStyle w:val="NoSpacing"/>
              <w:jc w:val="center"/>
              <w:rPr>
                <w:rFonts w:ascii="Arial" w:hAnsi="Arial" w:cs="Arial"/>
              </w:rPr>
            </w:pPr>
            <w:r w:rsidRPr="008178BB">
              <w:rPr>
                <w:rFonts w:ascii="Arial" w:hAnsi="Arial" w:cs="Arial"/>
              </w:rPr>
              <w:t xml:space="preserve">&gt;$30,000 and </w:t>
            </w:r>
            <w:r w:rsidRPr="008178BB">
              <w:rPr>
                <w:rFonts w:ascii="Arial" w:hAnsi="Arial" w:cs="Arial"/>
                <w:u w:val="single"/>
              </w:rPr>
              <w:t>&gt;</w:t>
            </w:r>
            <w:r w:rsidRPr="008178BB">
              <w:rPr>
                <w:rFonts w:ascii="Arial" w:hAnsi="Arial" w:cs="Arial"/>
              </w:rPr>
              <w:t>5 employees</w:t>
            </w:r>
          </w:p>
        </w:tc>
        <w:tc>
          <w:tcPr>
            <w:tcW w:w="135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All Other Foods</w:t>
            </w:r>
          </w:p>
          <w:p w:rsidR="00E01A86" w:rsidRPr="008178BB" w:rsidRDefault="00E01A86" w:rsidP="006F20FC">
            <w:pPr>
              <w:pStyle w:val="NoSpacing"/>
              <w:jc w:val="center"/>
              <w:rPr>
                <w:rFonts w:ascii="Arial" w:hAnsi="Arial" w:cs="Arial"/>
              </w:rPr>
            </w:pPr>
          </w:p>
          <w:p w:rsidR="00E01A86" w:rsidRPr="008178BB" w:rsidRDefault="00E01A86" w:rsidP="006F20FC">
            <w:pPr>
              <w:pStyle w:val="NoSpacing"/>
              <w:jc w:val="center"/>
              <w:rPr>
                <w:rFonts w:ascii="Arial" w:hAnsi="Arial" w:cs="Arial"/>
              </w:rPr>
            </w:pPr>
            <w:r w:rsidRPr="008178BB">
              <w:rPr>
                <w:rFonts w:ascii="Arial" w:hAnsi="Arial" w:cs="Arial"/>
              </w:rPr>
              <w:t>&gt;$30,000 and &lt;5 employees</w:t>
            </w:r>
          </w:p>
        </w:tc>
        <w:tc>
          <w:tcPr>
            <w:tcW w:w="1278"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All Other Foods</w:t>
            </w:r>
          </w:p>
          <w:p w:rsidR="00E01A86" w:rsidRPr="008178BB" w:rsidRDefault="00E01A86" w:rsidP="006F20FC">
            <w:pPr>
              <w:pStyle w:val="NoSpacing"/>
              <w:jc w:val="center"/>
              <w:rPr>
                <w:rFonts w:ascii="Arial" w:hAnsi="Arial" w:cs="Arial"/>
              </w:rPr>
            </w:pPr>
          </w:p>
          <w:p w:rsidR="00E01A86" w:rsidRPr="008178BB" w:rsidRDefault="00E01A86" w:rsidP="006F20FC">
            <w:pPr>
              <w:pStyle w:val="NoSpacing"/>
              <w:jc w:val="center"/>
              <w:rPr>
                <w:rFonts w:ascii="Arial" w:hAnsi="Arial" w:cs="Arial"/>
              </w:rPr>
            </w:pPr>
            <w:r w:rsidRPr="008178BB">
              <w:rPr>
                <w:rFonts w:ascii="Arial" w:hAnsi="Arial" w:cs="Arial"/>
                <w:u w:val="single"/>
              </w:rPr>
              <w:t>&lt;</w:t>
            </w:r>
            <w:r w:rsidRPr="008178BB">
              <w:rPr>
                <w:rFonts w:ascii="Arial" w:hAnsi="Arial" w:cs="Arial"/>
              </w:rPr>
              <w:t>$30,000</w:t>
            </w:r>
          </w:p>
        </w:tc>
      </w:tr>
      <w:tr w:rsidR="00E01A86" w:rsidRPr="008178BB" w:rsidTr="006F20FC">
        <w:tc>
          <w:tcPr>
            <w:tcW w:w="1596"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Preventive control measures</w:t>
            </w:r>
          </w:p>
        </w:tc>
        <w:tc>
          <w:tcPr>
            <w:tcW w:w="2292"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Immediately</w:t>
            </w:r>
            <w:r w:rsidR="006B27BE" w:rsidRPr="008178BB">
              <w:rPr>
                <w:rFonts w:ascii="Arial" w:hAnsi="Arial" w:cs="Arial"/>
              </w:rPr>
              <w:t xml:space="preserve"> upon coming into force</w:t>
            </w:r>
          </w:p>
        </w:tc>
        <w:tc>
          <w:tcPr>
            <w:tcW w:w="162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+1 year</w:t>
            </w:r>
          </w:p>
        </w:tc>
        <w:tc>
          <w:tcPr>
            <w:tcW w:w="144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+2 years</w:t>
            </w:r>
          </w:p>
        </w:tc>
        <w:tc>
          <w:tcPr>
            <w:tcW w:w="135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+3 years</w:t>
            </w:r>
          </w:p>
        </w:tc>
        <w:tc>
          <w:tcPr>
            <w:tcW w:w="1278"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+3 years</w:t>
            </w:r>
          </w:p>
        </w:tc>
      </w:tr>
      <w:tr w:rsidR="00E01A86" w:rsidRPr="008178BB" w:rsidTr="006F20FC">
        <w:tc>
          <w:tcPr>
            <w:tcW w:w="1596" w:type="dxa"/>
            <w:shd w:val="clear" w:color="auto" w:fill="auto"/>
          </w:tcPr>
          <w:p w:rsidR="00E01A86" w:rsidRPr="008178BB" w:rsidRDefault="00E01A86">
            <w:pPr>
              <w:pStyle w:val="NoSpacing"/>
              <w:jc w:val="center"/>
              <w:rPr>
                <w:rFonts w:ascii="Arial" w:hAnsi="Arial" w:cs="Arial"/>
              </w:rPr>
            </w:pPr>
            <w:r w:rsidRPr="008178BB">
              <w:rPr>
                <w:rFonts w:ascii="Arial" w:hAnsi="Arial" w:cs="Arial"/>
              </w:rPr>
              <w:t xml:space="preserve">Written </w:t>
            </w:r>
            <w:r w:rsidR="00EA6512" w:rsidRPr="008178BB">
              <w:rPr>
                <w:rFonts w:ascii="Arial" w:hAnsi="Arial" w:cs="Arial"/>
              </w:rPr>
              <w:t>P</w:t>
            </w:r>
            <w:r w:rsidRPr="008178BB">
              <w:rPr>
                <w:rFonts w:ascii="Arial" w:hAnsi="Arial" w:cs="Arial"/>
              </w:rPr>
              <w:t xml:space="preserve">reventive </w:t>
            </w:r>
            <w:r w:rsidR="00EA6512" w:rsidRPr="008178BB">
              <w:rPr>
                <w:rFonts w:ascii="Arial" w:hAnsi="Arial" w:cs="Arial"/>
              </w:rPr>
              <w:t>C</w:t>
            </w:r>
            <w:r w:rsidRPr="008178BB">
              <w:rPr>
                <w:rFonts w:ascii="Arial" w:hAnsi="Arial" w:cs="Arial"/>
              </w:rPr>
              <w:t xml:space="preserve">ontrol </w:t>
            </w:r>
            <w:r w:rsidR="00EA6512" w:rsidRPr="008178BB">
              <w:rPr>
                <w:rFonts w:ascii="Arial" w:hAnsi="Arial" w:cs="Arial"/>
              </w:rPr>
              <w:t>P</w:t>
            </w:r>
            <w:r w:rsidRPr="008178BB">
              <w:rPr>
                <w:rFonts w:ascii="Arial" w:hAnsi="Arial" w:cs="Arial"/>
              </w:rPr>
              <w:t>lan</w:t>
            </w:r>
          </w:p>
        </w:tc>
        <w:tc>
          <w:tcPr>
            <w:tcW w:w="2292"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Immediately</w:t>
            </w:r>
            <w:r w:rsidR="006B27BE" w:rsidRPr="008178BB">
              <w:rPr>
                <w:rFonts w:ascii="Arial" w:hAnsi="Arial" w:cs="Arial"/>
              </w:rPr>
              <w:t xml:space="preserve"> upon coming into force</w:t>
            </w:r>
          </w:p>
        </w:tc>
        <w:tc>
          <w:tcPr>
            <w:tcW w:w="162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+1 year</w:t>
            </w:r>
          </w:p>
        </w:tc>
        <w:tc>
          <w:tcPr>
            <w:tcW w:w="144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+2 years</w:t>
            </w:r>
          </w:p>
        </w:tc>
        <w:tc>
          <w:tcPr>
            <w:tcW w:w="1350"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+3 years</w:t>
            </w:r>
          </w:p>
        </w:tc>
        <w:tc>
          <w:tcPr>
            <w:tcW w:w="1278" w:type="dxa"/>
            <w:shd w:val="clear" w:color="auto" w:fill="auto"/>
          </w:tcPr>
          <w:p w:rsidR="00E01A86" w:rsidRPr="008178BB" w:rsidRDefault="00E01A86" w:rsidP="006F20FC">
            <w:pPr>
              <w:pStyle w:val="NoSpacing"/>
              <w:jc w:val="center"/>
              <w:rPr>
                <w:rFonts w:ascii="Arial" w:hAnsi="Arial" w:cs="Arial"/>
              </w:rPr>
            </w:pPr>
            <w:r w:rsidRPr="008178BB">
              <w:rPr>
                <w:rFonts w:ascii="Arial" w:hAnsi="Arial" w:cs="Arial"/>
              </w:rPr>
              <w:t>Not required</w:t>
            </w:r>
            <w:r w:rsidRPr="008178BB">
              <w:rPr>
                <w:rFonts w:ascii="Arial" w:hAnsi="Arial" w:cs="Arial"/>
                <w:vertAlign w:val="superscript"/>
              </w:rPr>
              <w:t>1</w:t>
            </w:r>
          </w:p>
        </w:tc>
      </w:tr>
    </w:tbl>
    <w:p w:rsidR="00E01A86" w:rsidRPr="008178BB" w:rsidRDefault="00E01A86" w:rsidP="00E01A86">
      <w:pPr>
        <w:pStyle w:val="NoSpacing"/>
        <w:rPr>
          <w:rFonts w:ascii="Arial" w:hAnsi="Arial" w:cs="Arial"/>
        </w:rPr>
      </w:pPr>
      <w:r w:rsidRPr="008178BB">
        <w:rPr>
          <w:rFonts w:ascii="Arial" w:hAnsi="Arial" w:cs="Arial"/>
          <w:vertAlign w:val="superscript"/>
        </w:rPr>
        <w:t>1</w:t>
      </w:r>
      <w:r w:rsidRPr="008178BB">
        <w:rPr>
          <w:rFonts w:ascii="Arial" w:hAnsi="Arial" w:cs="Arial"/>
        </w:rPr>
        <w:t xml:space="preserve"> In addition to all other foods, honey, maple, and fresh fruit or vegetable products would not need a written </w:t>
      </w:r>
      <w:r w:rsidR="00EA6512" w:rsidRPr="008178BB">
        <w:rPr>
          <w:rFonts w:ascii="Arial" w:hAnsi="Arial" w:cs="Arial"/>
        </w:rPr>
        <w:t>P</w:t>
      </w:r>
      <w:r w:rsidRPr="008178BB">
        <w:rPr>
          <w:rFonts w:ascii="Arial" w:hAnsi="Arial" w:cs="Arial"/>
        </w:rPr>
        <w:t xml:space="preserve">reventive </w:t>
      </w:r>
      <w:r w:rsidR="00EA6512" w:rsidRPr="008178BB">
        <w:rPr>
          <w:rFonts w:ascii="Arial" w:hAnsi="Arial" w:cs="Arial"/>
        </w:rPr>
        <w:t>C</w:t>
      </w:r>
      <w:r w:rsidRPr="008178BB">
        <w:rPr>
          <w:rFonts w:ascii="Arial" w:hAnsi="Arial" w:cs="Arial"/>
        </w:rPr>
        <w:t xml:space="preserve">ontrol </w:t>
      </w:r>
      <w:r w:rsidR="00EA6512" w:rsidRPr="008178BB">
        <w:rPr>
          <w:rFonts w:ascii="Arial" w:hAnsi="Arial" w:cs="Arial"/>
        </w:rPr>
        <w:t>P</w:t>
      </w:r>
      <w:r w:rsidRPr="008178BB">
        <w:rPr>
          <w:rFonts w:ascii="Arial" w:hAnsi="Arial" w:cs="Arial"/>
        </w:rPr>
        <w:t xml:space="preserve">lan if they have gross annual sales of food that is </w:t>
      </w:r>
      <w:r w:rsidRPr="008178BB">
        <w:rPr>
          <w:rFonts w:ascii="Arial" w:hAnsi="Arial" w:cs="Arial"/>
          <w:u w:val="single"/>
        </w:rPr>
        <w:t>&lt;</w:t>
      </w:r>
      <w:r w:rsidRPr="008178BB">
        <w:rPr>
          <w:rFonts w:ascii="Arial" w:hAnsi="Arial" w:cs="Arial"/>
        </w:rPr>
        <w:t>$30,000.</w:t>
      </w:r>
    </w:p>
    <w:p w:rsidR="00E01A86" w:rsidRPr="008178BB" w:rsidRDefault="00E01A86" w:rsidP="00E01A86">
      <w:pPr>
        <w:pStyle w:val="NoSpacing"/>
        <w:rPr>
          <w:rFonts w:ascii="Arial" w:hAnsi="Arial" w:cs="Arial"/>
        </w:rPr>
      </w:pPr>
    </w:p>
    <w:p w:rsidR="00E01A86" w:rsidRPr="008178BB" w:rsidRDefault="00EA6512" w:rsidP="00E01A86">
      <w:pPr>
        <w:pStyle w:val="NoSpacing"/>
        <w:rPr>
          <w:rFonts w:ascii="Arial" w:hAnsi="Arial" w:cs="Arial"/>
        </w:rPr>
      </w:pPr>
      <w:r w:rsidRPr="008178BB">
        <w:rPr>
          <w:rFonts w:ascii="Arial" w:hAnsi="Arial" w:cs="Arial"/>
        </w:rPr>
        <w:t>To</w:t>
      </w:r>
      <w:r w:rsidR="00E01A86" w:rsidRPr="008178BB">
        <w:rPr>
          <w:rFonts w:ascii="Arial" w:hAnsi="Arial" w:cs="Arial"/>
        </w:rPr>
        <w:t xml:space="preserve"> request an export certificate, you must meet all requirements immediately</w:t>
      </w:r>
      <w:r w:rsidR="006B27BE" w:rsidRPr="008178BB">
        <w:rPr>
          <w:rFonts w:ascii="Arial" w:hAnsi="Arial" w:cs="Arial"/>
        </w:rPr>
        <w:t xml:space="preserve"> upon coming into force</w:t>
      </w:r>
      <w:r w:rsidR="00E01A86" w:rsidRPr="008178BB">
        <w:rPr>
          <w:rFonts w:ascii="Arial" w:hAnsi="Arial" w:cs="Arial"/>
        </w:rPr>
        <w:t>.</w:t>
      </w:r>
    </w:p>
    <w:p w:rsidR="00E54B4B" w:rsidRPr="008178BB" w:rsidRDefault="00A54A41" w:rsidP="008178BB">
      <w:pPr>
        <w:rPr>
          <w:rFonts w:ascii="Arial" w:hAnsi="Arial" w:cs="Arial"/>
          <w:b/>
          <w:sz w:val="22"/>
          <w:szCs w:val="22"/>
        </w:rPr>
      </w:pPr>
      <w:r w:rsidRPr="008178BB">
        <w:rPr>
          <w:rFonts w:ascii="Arial" w:hAnsi="Arial" w:cs="Arial"/>
        </w:rPr>
        <w:br/>
      </w:r>
      <w:r w:rsidR="00CD78F9" w:rsidRPr="008178BB">
        <w:rPr>
          <w:rFonts w:ascii="Arial" w:hAnsi="Arial" w:cs="Arial"/>
          <w:b/>
          <w:sz w:val="22"/>
          <w:szCs w:val="22"/>
        </w:rPr>
        <w:t>ADDITIONAL QUESTIONS</w:t>
      </w:r>
    </w:p>
    <w:p w:rsidR="00E54B4B" w:rsidRPr="008178BB" w:rsidRDefault="00E54B4B" w:rsidP="00E54B4B">
      <w:pPr>
        <w:pStyle w:val="NoSpacing"/>
        <w:rPr>
          <w:rFonts w:ascii="Arial" w:hAnsi="Arial" w:cs="Arial"/>
          <w:b/>
        </w:rPr>
      </w:pPr>
    </w:p>
    <w:p w:rsidR="00E54B4B" w:rsidRPr="008178BB" w:rsidRDefault="00CD78F9" w:rsidP="00E54B4B">
      <w:pPr>
        <w:pStyle w:val="NoSpacing"/>
        <w:rPr>
          <w:rFonts w:ascii="Arial" w:hAnsi="Arial" w:cs="Arial"/>
          <w:b/>
        </w:rPr>
      </w:pPr>
      <w:r w:rsidRPr="008178BB">
        <w:rPr>
          <w:rFonts w:ascii="Arial" w:hAnsi="Arial" w:cs="Arial"/>
          <w:b/>
        </w:rPr>
        <w:t>8</w:t>
      </w:r>
      <w:r w:rsidR="00E54B4B" w:rsidRPr="008178BB">
        <w:rPr>
          <w:rFonts w:ascii="Arial" w:hAnsi="Arial" w:cs="Arial"/>
          <w:b/>
        </w:rPr>
        <w:t xml:space="preserve">. </w:t>
      </w:r>
      <w:r w:rsidRPr="008178BB">
        <w:rPr>
          <w:rFonts w:ascii="Arial" w:hAnsi="Arial" w:cs="Arial"/>
          <w:b/>
        </w:rPr>
        <w:t>Where should stakeholders direct their questions</w:t>
      </w:r>
      <w:r w:rsidR="00E54B4B" w:rsidRPr="008178BB">
        <w:rPr>
          <w:rFonts w:ascii="Arial" w:hAnsi="Arial" w:cs="Arial"/>
          <w:b/>
        </w:rPr>
        <w:t>?</w:t>
      </w:r>
    </w:p>
    <w:p w:rsidR="00E54B4B" w:rsidRPr="008178BB" w:rsidRDefault="00E54B4B" w:rsidP="00E54B4B">
      <w:pPr>
        <w:pStyle w:val="NoSpacing"/>
        <w:rPr>
          <w:rFonts w:ascii="Arial" w:hAnsi="Arial" w:cs="Arial"/>
          <w:color w:val="000000"/>
        </w:rPr>
      </w:pPr>
    </w:p>
    <w:p w:rsidR="005D7345" w:rsidRPr="008178BB" w:rsidRDefault="00E54B4B" w:rsidP="00E54B4B">
      <w:pPr>
        <w:pStyle w:val="NoSpacing"/>
        <w:rPr>
          <w:rStyle w:val="Hyperlink"/>
          <w:rFonts w:ascii="Arial" w:eastAsia="Calibri" w:hAnsi="Arial" w:cs="Arial"/>
        </w:rPr>
      </w:pPr>
      <w:r w:rsidRPr="008178BB">
        <w:rPr>
          <w:rFonts w:ascii="Arial" w:hAnsi="Arial" w:cs="Arial"/>
        </w:rPr>
        <w:t xml:space="preserve">Stakeholders </w:t>
      </w:r>
      <w:r w:rsidR="00CD78F9" w:rsidRPr="008178BB">
        <w:rPr>
          <w:rFonts w:ascii="Arial" w:hAnsi="Arial" w:cs="Arial"/>
        </w:rPr>
        <w:t>can refer</w:t>
      </w:r>
      <w:r w:rsidR="00B21DFC" w:rsidRPr="008178BB">
        <w:rPr>
          <w:rFonts w:ascii="Arial" w:hAnsi="Arial" w:cs="Arial"/>
        </w:rPr>
        <w:t xml:space="preserve"> </w:t>
      </w:r>
      <w:r w:rsidRPr="008178BB">
        <w:rPr>
          <w:rFonts w:ascii="Arial" w:hAnsi="Arial" w:cs="Arial"/>
        </w:rPr>
        <w:t xml:space="preserve">to the main </w:t>
      </w:r>
      <w:r w:rsidR="008E05DE" w:rsidRPr="008178BB">
        <w:rPr>
          <w:rFonts w:ascii="Arial" w:hAnsi="Arial" w:cs="Arial"/>
        </w:rPr>
        <w:t xml:space="preserve">consultation </w:t>
      </w:r>
      <w:r w:rsidRPr="008178BB">
        <w:rPr>
          <w:rFonts w:ascii="Arial" w:hAnsi="Arial" w:cs="Arial"/>
        </w:rPr>
        <w:t>page on the CFIA’s website to learn more</w:t>
      </w:r>
      <w:r w:rsidR="008E05DE" w:rsidRPr="008178BB">
        <w:rPr>
          <w:rFonts w:ascii="Arial" w:hAnsi="Arial" w:cs="Arial"/>
        </w:rPr>
        <w:t xml:space="preserve"> about the proposed regulations</w:t>
      </w:r>
      <w:r w:rsidR="005D7345" w:rsidRPr="008178BB">
        <w:rPr>
          <w:rFonts w:ascii="Arial" w:hAnsi="Arial" w:cs="Arial"/>
        </w:rPr>
        <w:t xml:space="preserve"> – </w:t>
      </w:r>
      <w:hyperlink r:id="rId9" w:history="1">
        <w:r w:rsidRPr="008178BB">
          <w:rPr>
            <w:rStyle w:val="Hyperlink"/>
            <w:rFonts w:ascii="Arial" w:eastAsia="Calibri" w:hAnsi="Arial" w:cs="Arial"/>
          </w:rPr>
          <w:t>inspection.gc.ca/</w:t>
        </w:r>
        <w:proofErr w:type="spellStart"/>
        <w:r w:rsidRPr="008178BB">
          <w:rPr>
            <w:rStyle w:val="Hyperlink"/>
            <w:rFonts w:ascii="Arial" w:eastAsia="Calibri" w:hAnsi="Arial" w:cs="Arial"/>
          </w:rPr>
          <w:t>safefood</w:t>
        </w:r>
        <w:proofErr w:type="spellEnd"/>
      </w:hyperlink>
      <w:r w:rsidR="007C5832" w:rsidRPr="008178BB">
        <w:rPr>
          <w:rStyle w:val="Hyperlink"/>
          <w:rFonts w:ascii="Arial" w:eastAsia="Calibri" w:hAnsi="Arial" w:cs="Arial"/>
          <w:color w:val="auto"/>
          <w:u w:val="none"/>
        </w:rPr>
        <w:t>.</w:t>
      </w:r>
    </w:p>
    <w:p w:rsidR="00E54B4B" w:rsidRPr="008178BB" w:rsidRDefault="00E54B4B" w:rsidP="00E54B4B">
      <w:pPr>
        <w:pStyle w:val="NoSpacing"/>
        <w:rPr>
          <w:rFonts w:ascii="Arial" w:hAnsi="Arial" w:cs="Arial"/>
        </w:rPr>
      </w:pPr>
    </w:p>
    <w:p w:rsidR="00E54B4B" w:rsidRPr="008178BB" w:rsidRDefault="00E54B4B" w:rsidP="00E54B4B">
      <w:pPr>
        <w:pStyle w:val="NoSpacing"/>
        <w:rPr>
          <w:rFonts w:ascii="Arial" w:hAnsi="Arial" w:cs="Arial"/>
        </w:rPr>
      </w:pPr>
      <w:r w:rsidRPr="008178BB">
        <w:rPr>
          <w:rFonts w:ascii="Arial" w:hAnsi="Arial" w:cs="Arial"/>
        </w:rPr>
        <w:t xml:space="preserve">Further questions should be forwarded by phone to 1-800-442-2342 or by email via </w:t>
      </w:r>
      <w:hyperlink r:id="rId10" w:history="1">
        <w:r w:rsidRPr="008178BB">
          <w:rPr>
            <w:rStyle w:val="Hyperlink"/>
            <w:rFonts w:ascii="Arial" w:hAnsi="Arial" w:cs="Arial"/>
          </w:rPr>
          <w:t>inspection.gc.ca/</w:t>
        </w:r>
        <w:proofErr w:type="spellStart"/>
        <w:r w:rsidRPr="008178BB">
          <w:rPr>
            <w:rStyle w:val="Hyperlink"/>
            <w:rFonts w:ascii="Arial" w:hAnsi="Arial" w:cs="Arial"/>
          </w:rPr>
          <w:t>contactus</w:t>
        </w:r>
        <w:proofErr w:type="spellEnd"/>
      </w:hyperlink>
      <w:r w:rsidRPr="008178BB">
        <w:rPr>
          <w:rFonts w:ascii="Arial" w:hAnsi="Arial" w:cs="Arial"/>
        </w:rPr>
        <w:t>.</w:t>
      </w:r>
    </w:p>
    <w:p w:rsidR="00E54B4B" w:rsidRPr="008178BB" w:rsidRDefault="00E54B4B" w:rsidP="00E54B4B">
      <w:pPr>
        <w:pStyle w:val="NoSpacing"/>
        <w:rPr>
          <w:rFonts w:ascii="Arial" w:hAnsi="Arial" w:cs="Arial"/>
          <w:color w:val="000000"/>
        </w:rPr>
      </w:pPr>
    </w:p>
    <w:p w:rsidR="00E54B4B" w:rsidRPr="008178BB" w:rsidRDefault="00E54B4B" w:rsidP="00E54B4B">
      <w:pPr>
        <w:pStyle w:val="NoSpacing"/>
        <w:rPr>
          <w:rFonts w:ascii="Arial" w:hAnsi="Arial" w:cs="Arial"/>
          <w:color w:val="000000"/>
        </w:rPr>
      </w:pPr>
    </w:p>
    <w:p w:rsidR="00871B85" w:rsidRPr="008178BB" w:rsidRDefault="00871B85" w:rsidP="00786FAE">
      <w:pPr>
        <w:rPr>
          <w:rFonts w:ascii="Arial" w:hAnsi="Arial" w:cs="Arial"/>
          <w:sz w:val="22"/>
          <w:szCs w:val="22"/>
        </w:rPr>
      </w:pPr>
    </w:p>
    <w:p w:rsidR="00871B85" w:rsidRPr="008178BB" w:rsidRDefault="00871B85" w:rsidP="00786FAE">
      <w:pPr>
        <w:pStyle w:val="ListParagraph"/>
        <w:ind w:left="1440"/>
        <w:rPr>
          <w:rFonts w:ascii="Arial" w:hAnsi="Arial" w:cs="Arial"/>
          <w:sz w:val="22"/>
          <w:szCs w:val="22"/>
        </w:rPr>
      </w:pPr>
    </w:p>
    <w:p w:rsidR="00B216D9" w:rsidRPr="00786FAE" w:rsidRDefault="00B216D9" w:rsidP="00786FAE">
      <w:pPr>
        <w:pStyle w:val="NoSpacing"/>
        <w:rPr>
          <w:rFonts w:ascii="Arial" w:hAnsi="Arial" w:cs="Arial"/>
        </w:rPr>
      </w:pPr>
    </w:p>
    <w:sectPr w:rsidR="00B216D9" w:rsidRPr="00786FAE" w:rsidSect="002B68D8">
      <w:headerReference w:type="default" r:id="rId11"/>
      <w:footerReference w:type="default" r:id="rId12"/>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1E" w:rsidRDefault="00615C1E" w:rsidP="00C53F77">
      <w:r>
        <w:separator/>
      </w:r>
    </w:p>
  </w:endnote>
  <w:endnote w:type="continuationSeparator" w:id="0">
    <w:p w:rsidR="00615C1E" w:rsidRDefault="00615C1E" w:rsidP="00C5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D8" w:rsidRPr="002B68D8" w:rsidRDefault="002B68D8" w:rsidP="002B68D8">
    <w:pPr>
      <w:pStyle w:val="Footer"/>
      <w:jc w:val="right"/>
      <w:rPr>
        <w:lang w:val="en-GB"/>
      </w:rPr>
    </w:pPr>
    <w:r w:rsidRPr="00D61111">
      <w:rPr>
        <w:noProof/>
        <w:sz w:val="24"/>
        <w:szCs w:val="24"/>
        <w:lang w:val="en-US" w:eastAsia="en-US"/>
      </w:rPr>
      <w:drawing>
        <wp:anchor distT="0" distB="0" distL="114300" distR="114300" simplePos="0" relativeHeight="251659264" behindDoc="1" locked="0" layoutInCell="1" allowOverlap="1" wp14:anchorId="0173A0D2" wp14:editId="4BED4DDD">
          <wp:simplePos x="0" y="0"/>
          <wp:positionH relativeFrom="column">
            <wp:posOffset>4711700</wp:posOffset>
          </wp:positionH>
          <wp:positionV relativeFrom="paragraph">
            <wp:posOffset>120650</wp:posOffset>
          </wp:positionV>
          <wp:extent cx="1485900" cy="352425"/>
          <wp:effectExtent l="0" t="0" r="0" b="9525"/>
          <wp:wrapTight wrapText="bothSides">
            <wp:wrapPolygon edited="0">
              <wp:start x="0" y="0"/>
              <wp:lineTo x="0" y="21016"/>
              <wp:lineTo x="21323" y="21016"/>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4CA" w:rsidRDefault="005074CA" w:rsidP="00912E11">
    <w:pPr>
      <w:pStyle w:val="Footer"/>
      <w:tabs>
        <w:tab w:val="clear" w:pos="4680"/>
        <w:tab w:val="clear" w:pos="9360"/>
        <w:tab w:val="left" w:pos="7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1E" w:rsidRDefault="00615C1E" w:rsidP="00C53F77">
      <w:r>
        <w:separator/>
      </w:r>
    </w:p>
  </w:footnote>
  <w:footnote w:type="continuationSeparator" w:id="0">
    <w:p w:rsidR="00615C1E" w:rsidRDefault="00615C1E" w:rsidP="00C5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A" w:rsidRDefault="005074CA">
    <w:pPr>
      <w:pStyle w:val="Header"/>
    </w:pPr>
    <w:r>
      <w:rPr>
        <w:noProof/>
        <w:lang w:val="en-US" w:eastAsia="en-US"/>
      </w:rPr>
      <w:drawing>
        <wp:inline distT="0" distB="0" distL="0" distR="0" wp14:anchorId="44BFE811" wp14:editId="1136B86F">
          <wp:extent cx="2512695" cy="198755"/>
          <wp:effectExtent l="0" t="0" r="1905" b="0"/>
          <wp:docPr id="1" name="Picture 1" descr="sig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c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198755"/>
                  </a:xfrm>
                  <a:prstGeom prst="rect">
                    <a:avLst/>
                  </a:prstGeom>
                  <a:noFill/>
                  <a:ln>
                    <a:noFill/>
                  </a:ln>
                </pic:spPr>
              </pic:pic>
            </a:graphicData>
          </a:graphic>
        </wp:inline>
      </w:drawing>
    </w:r>
  </w:p>
  <w:p w:rsidR="005074CA" w:rsidRDefault="00507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2391"/>
    <w:multiLevelType w:val="hybridMultilevel"/>
    <w:tmpl w:val="545CD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72BD4"/>
    <w:multiLevelType w:val="hybridMultilevel"/>
    <w:tmpl w:val="2F403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057BD"/>
    <w:multiLevelType w:val="hybridMultilevel"/>
    <w:tmpl w:val="0E6A6F42"/>
    <w:lvl w:ilvl="0" w:tplc="1009000F">
      <w:start w:val="1"/>
      <w:numFmt w:val="decimal"/>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3" w15:restartNumberingAfterBreak="0">
    <w:nsid w:val="08537C5F"/>
    <w:multiLevelType w:val="hybridMultilevel"/>
    <w:tmpl w:val="492811FC"/>
    <w:lvl w:ilvl="0" w:tplc="884EC1B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9E5941"/>
    <w:multiLevelType w:val="hybridMultilevel"/>
    <w:tmpl w:val="ADA63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860ACF"/>
    <w:multiLevelType w:val="hybridMultilevel"/>
    <w:tmpl w:val="C12C3D92"/>
    <w:lvl w:ilvl="0" w:tplc="884EC1B0">
      <w:start w:val="1"/>
      <w:numFmt w:val="bullet"/>
      <w:lvlText w:val=""/>
      <w:lvlJc w:val="left"/>
      <w:pPr>
        <w:ind w:left="360" w:hanging="360"/>
      </w:pPr>
      <w:rPr>
        <w:rFonts w:ascii="Symbol" w:hAnsi="Symbol" w:hint="default"/>
      </w:rPr>
    </w:lvl>
    <w:lvl w:ilvl="1" w:tplc="884EC1B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D73F23"/>
    <w:multiLevelType w:val="hybridMultilevel"/>
    <w:tmpl w:val="DF2C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9E643F"/>
    <w:multiLevelType w:val="hybridMultilevel"/>
    <w:tmpl w:val="0F50C8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F30E5A"/>
    <w:multiLevelType w:val="hybridMultilevel"/>
    <w:tmpl w:val="6596856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463F1F"/>
    <w:multiLevelType w:val="hybridMultilevel"/>
    <w:tmpl w:val="217025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6FBC1364">
      <w:numFmt w:val="bullet"/>
      <w:lvlText w:val="•"/>
      <w:lvlJc w:val="left"/>
      <w:pPr>
        <w:ind w:left="2976" w:hanging="456"/>
      </w:pPr>
      <w:rPr>
        <w:rFonts w:ascii="Arial" w:eastAsia="MS Mincho" w:hAnsi="Arial" w:cs="Aria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16585E"/>
    <w:multiLevelType w:val="hybridMultilevel"/>
    <w:tmpl w:val="7D3A8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3C2356"/>
    <w:multiLevelType w:val="hybridMultilevel"/>
    <w:tmpl w:val="A0C8C1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2540C"/>
    <w:multiLevelType w:val="hybridMultilevel"/>
    <w:tmpl w:val="3C2C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B638F7"/>
    <w:multiLevelType w:val="hybridMultilevel"/>
    <w:tmpl w:val="4A482704"/>
    <w:lvl w:ilvl="0" w:tplc="60B21CE8">
      <w:start w:val="3"/>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B76F1D"/>
    <w:multiLevelType w:val="hybridMultilevel"/>
    <w:tmpl w:val="D5D00A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C71E19"/>
    <w:multiLevelType w:val="hybridMultilevel"/>
    <w:tmpl w:val="BAF2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F0C97"/>
    <w:multiLevelType w:val="hybridMultilevel"/>
    <w:tmpl w:val="3EA2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C056FE"/>
    <w:multiLevelType w:val="hybridMultilevel"/>
    <w:tmpl w:val="1A0A62B8"/>
    <w:lvl w:ilvl="0" w:tplc="3CB4200A">
      <w:start w:val="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37048"/>
    <w:multiLevelType w:val="hybridMultilevel"/>
    <w:tmpl w:val="99E8C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7A51D8"/>
    <w:multiLevelType w:val="hybridMultilevel"/>
    <w:tmpl w:val="C080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5475"/>
    <w:multiLevelType w:val="hybridMultilevel"/>
    <w:tmpl w:val="9334B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F21B44"/>
    <w:multiLevelType w:val="hybridMultilevel"/>
    <w:tmpl w:val="7956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05F81"/>
    <w:multiLevelType w:val="hybridMultilevel"/>
    <w:tmpl w:val="61E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1AAF"/>
    <w:multiLevelType w:val="hybridMultilevel"/>
    <w:tmpl w:val="A7D2C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A97836"/>
    <w:multiLevelType w:val="hybridMultilevel"/>
    <w:tmpl w:val="1A185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4219FE"/>
    <w:multiLevelType w:val="hybridMultilevel"/>
    <w:tmpl w:val="CA3C0690"/>
    <w:lvl w:ilvl="0" w:tplc="884EC1B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F339E4"/>
    <w:multiLevelType w:val="hybridMultilevel"/>
    <w:tmpl w:val="498CCC56"/>
    <w:lvl w:ilvl="0" w:tplc="884EC1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ED0563"/>
    <w:multiLevelType w:val="hybridMultilevel"/>
    <w:tmpl w:val="1A34BECE"/>
    <w:lvl w:ilvl="0" w:tplc="1009000F">
      <w:start w:val="1"/>
      <w:numFmt w:val="decimal"/>
      <w:lvlText w:val="%1."/>
      <w:lvlJc w:val="left"/>
      <w:pPr>
        <w:ind w:left="720" w:hanging="360"/>
      </w:p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3">
      <w:start w:val="1"/>
      <w:numFmt w:val="bullet"/>
      <w:lvlText w:val="o"/>
      <w:lvlJc w:val="left"/>
      <w:pPr>
        <w:ind w:left="2976" w:hanging="456"/>
      </w:pPr>
      <w:rPr>
        <w:rFonts w:ascii="Courier New" w:hAnsi="Courier New" w:cs="Courier New"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8A85524"/>
    <w:multiLevelType w:val="hybridMultilevel"/>
    <w:tmpl w:val="240E9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C87CD4"/>
    <w:multiLevelType w:val="hybridMultilevel"/>
    <w:tmpl w:val="14403380"/>
    <w:lvl w:ilvl="0" w:tplc="0F22CD28">
      <w:start w:val="1"/>
      <w:numFmt w:val="decimal"/>
      <w:lvlText w:val="%1."/>
      <w:lvlJc w:val="left"/>
      <w:pPr>
        <w:ind w:left="720" w:hanging="360"/>
      </w:pPr>
      <w:rPr>
        <w:rFonts w:ascii="Arial" w:hAnsi="Arial"/>
        <w:b w:val="0"/>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6FBC1364">
      <w:numFmt w:val="bullet"/>
      <w:lvlText w:val="•"/>
      <w:lvlJc w:val="left"/>
      <w:pPr>
        <w:ind w:left="2976" w:hanging="456"/>
      </w:pPr>
      <w:rPr>
        <w:rFonts w:ascii="Arial" w:eastAsia="MS Mincho" w:hAnsi="Arial" w:cs="Aria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2D2300"/>
    <w:multiLevelType w:val="hybridMultilevel"/>
    <w:tmpl w:val="ECC01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4DC0"/>
    <w:multiLevelType w:val="hybridMultilevel"/>
    <w:tmpl w:val="033C9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D10A88"/>
    <w:multiLevelType w:val="hybridMultilevel"/>
    <w:tmpl w:val="8EB05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286B90"/>
    <w:multiLevelType w:val="hybridMultilevel"/>
    <w:tmpl w:val="8BD03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AA0060"/>
    <w:multiLevelType w:val="hybridMultilevel"/>
    <w:tmpl w:val="608EA274"/>
    <w:lvl w:ilvl="0" w:tplc="1009000F">
      <w:start w:val="1"/>
      <w:numFmt w:val="decimal"/>
      <w:lvlText w:val="%1."/>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65F5A48"/>
    <w:multiLevelType w:val="hybridMultilevel"/>
    <w:tmpl w:val="2E9EAE38"/>
    <w:lvl w:ilvl="0" w:tplc="1EB2DCF0">
      <w:start w:val="1"/>
      <w:numFmt w:val="decimal"/>
      <w:lvlText w:val="%1."/>
      <w:lvlJc w:val="left"/>
      <w:pPr>
        <w:ind w:left="720" w:hanging="360"/>
      </w:pPr>
      <w:rPr>
        <w:rFonts w:asciiTheme="minorHAnsi" w:eastAsiaTheme="minorHAnsi" w:hAnsiTheme="minorHAnsi" w:cstheme="minorBidi"/>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6A576D"/>
    <w:multiLevelType w:val="hybridMultilevel"/>
    <w:tmpl w:val="91D8A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A6FD3"/>
    <w:multiLevelType w:val="hybridMultilevel"/>
    <w:tmpl w:val="61208A40"/>
    <w:lvl w:ilvl="0" w:tplc="1009000F">
      <w:start w:val="1"/>
      <w:numFmt w:val="decimal"/>
      <w:lvlText w:val="%1."/>
      <w:lvlJc w:val="left"/>
      <w:pPr>
        <w:ind w:left="720" w:hanging="360"/>
      </w:pPr>
    </w:lvl>
    <w:lvl w:ilvl="1" w:tplc="10090017">
      <w:start w:val="1"/>
      <w:numFmt w:val="lowerLetter"/>
      <w:lvlText w:val="%2)"/>
      <w:lvlJc w:val="left"/>
      <w:pPr>
        <w:ind w:left="108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6"/>
  </w:num>
  <w:num w:numId="2">
    <w:abstractNumId w:val="31"/>
  </w:num>
  <w:num w:numId="3">
    <w:abstractNumId w:val="28"/>
  </w:num>
  <w:num w:numId="4">
    <w:abstractNumId w:val="18"/>
  </w:num>
  <w:num w:numId="5">
    <w:abstractNumId w:val="20"/>
  </w:num>
  <w:num w:numId="6">
    <w:abstractNumId w:val="22"/>
  </w:num>
  <w:num w:numId="7">
    <w:abstractNumId w:val="19"/>
  </w:num>
  <w:num w:numId="8">
    <w:abstractNumId w:val="30"/>
  </w:num>
  <w:num w:numId="9">
    <w:abstractNumId w:val="13"/>
  </w:num>
  <w:num w:numId="10">
    <w:abstractNumId w:val="2"/>
  </w:num>
  <w:num w:numId="11">
    <w:abstractNumId w:val="16"/>
  </w:num>
  <w:num w:numId="12">
    <w:abstractNumId w:val="17"/>
  </w:num>
  <w:num w:numId="13">
    <w:abstractNumId w:val="21"/>
  </w:num>
  <w:num w:numId="14">
    <w:abstractNumId w:val="11"/>
  </w:num>
  <w:num w:numId="15">
    <w:abstractNumId w:val="9"/>
  </w:num>
  <w:num w:numId="16">
    <w:abstractNumId w:val="27"/>
  </w:num>
  <w:num w:numId="17">
    <w:abstractNumId w:val="1"/>
  </w:num>
  <w:num w:numId="18">
    <w:abstractNumId w:val="7"/>
  </w:num>
  <w:num w:numId="19">
    <w:abstractNumId w:val="15"/>
  </w:num>
  <w:num w:numId="20">
    <w:abstractNumId w:val="10"/>
  </w:num>
  <w:num w:numId="21">
    <w:abstractNumId w:val="24"/>
  </w:num>
  <w:num w:numId="22">
    <w:abstractNumId w:val="23"/>
  </w:num>
  <w:num w:numId="23">
    <w:abstractNumId w:val="26"/>
  </w:num>
  <w:num w:numId="24">
    <w:abstractNumId w:val="3"/>
  </w:num>
  <w:num w:numId="25">
    <w:abstractNumId w:val="34"/>
  </w:num>
  <w:num w:numId="26">
    <w:abstractNumId w:val="25"/>
  </w:num>
  <w:num w:numId="27">
    <w:abstractNumId w:val="33"/>
  </w:num>
  <w:num w:numId="28">
    <w:abstractNumId w:val="0"/>
  </w:num>
  <w:num w:numId="29">
    <w:abstractNumId w:val="6"/>
  </w:num>
  <w:num w:numId="30">
    <w:abstractNumId w:val="32"/>
  </w:num>
  <w:num w:numId="31">
    <w:abstractNumId w:val="14"/>
  </w:num>
  <w:num w:numId="32">
    <w:abstractNumId w:val="5"/>
  </w:num>
  <w:num w:numId="33">
    <w:abstractNumId w:val="12"/>
  </w:num>
  <w:num w:numId="34">
    <w:abstractNumId w:val="4"/>
  </w:num>
  <w:num w:numId="35">
    <w:abstractNumId w:val="29"/>
  </w:num>
  <w:num w:numId="36">
    <w:abstractNumId w:val="37"/>
  </w:num>
  <w:num w:numId="37">
    <w:abstractNumId w:val="3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F4"/>
    <w:rsid w:val="00004BF0"/>
    <w:rsid w:val="00011912"/>
    <w:rsid w:val="00013ED9"/>
    <w:rsid w:val="000151F5"/>
    <w:rsid w:val="00035E23"/>
    <w:rsid w:val="0003696C"/>
    <w:rsid w:val="00042B2E"/>
    <w:rsid w:val="00055FA8"/>
    <w:rsid w:val="00082B44"/>
    <w:rsid w:val="0008705C"/>
    <w:rsid w:val="000B2A05"/>
    <w:rsid w:val="000D01D2"/>
    <w:rsid w:val="000D2DBA"/>
    <w:rsid w:val="000F60A0"/>
    <w:rsid w:val="00110939"/>
    <w:rsid w:val="00132DD0"/>
    <w:rsid w:val="00133BFC"/>
    <w:rsid w:val="001529B3"/>
    <w:rsid w:val="001901F3"/>
    <w:rsid w:val="001B644E"/>
    <w:rsid w:val="001C17B2"/>
    <w:rsid w:val="001C6A89"/>
    <w:rsid w:val="001F73BD"/>
    <w:rsid w:val="002104E6"/>
    <w:rsid w:val="00212C2A"/>
    <w:rsid w:val="0022406B"/>
    <w:rsid w:val="00232527"/>
    <w:rsid w:val="002374B9"/>
    <w:rsid w:val="00240B70"/>
    <w:rsid w:val="0025242C"/>
    <w:rsid w:val="0026262B"/>
    <w:rsid w:val="002918D3"/>
    <w:rsid w:val="002A6D9C"/>
    <w:rsid w:val="002B4549"/>
    <w:rsid w:val="002B68D8"/>
    <w:rsid w:val="002C10CE"/>
    <w:rsid w:val="002C5AF9"/>
    <w:rsid w:val="002C6A31"/>
    <w:rsid w:val="002D615D"/>
    <w:rsid w:val="002E189F"/>
    <w:rsid w:val="002E2028"/>
    <w:rsid w:val="00307594"/>
    <w:rsid w:val="0031135B"/>
    <w:rsid w:val="00311E7E"/>
    <w:rsid w:val="00320C79"/>
    <w:rsid w:val="00357B62"/>
    <w:rsid w:val="00372E16"/>
    <w:rsid w:val="00372F3D"/>
    <w:rsid w:val="003747E3"/>
    <w:rsid w:val="00384C6F"/>
    <w:rsid w:val="00391398"/>
    <w:rsid w:val="00395B45"/>
    <w:rsid w:val="003979D4"/>
    <w:rsid w:val="003B0EF1"/>
    <w:rsid w:val="003B1B4D"/>
    <w:rsid w:val="003C0589"/>
    <w:rsid w:val="003C1515"/>
    <w:rsid w:val="003C22B6"/>
    <w:rsid w:val="003F6BDB"/>
    <w:rsid w:val="003F7A27"/>
    <w:rsid w:val="004014C6"/>
    <w:rsid w:val="00404094"/>
    <w:rsid w:val="004139A2"/>
    <w:rsid w:val="00415E74"/>
    <w:rsid w:val="004165B5"/>
    <w:rsid w:val="00424C36"/>
    <w:rsid w:val="00426D3A"/>
    <w:rsid w:val="00434444"/>
    <w:rsid w:val="00451A71"/>
    <w:rsid w:val="004530D8"/>
    <w:rsid w:val="0045790F"/>
    <w:rsid w:val="00461B6D"/>
    <w:rsid w:val="004833BE"/>
    <w:rsid w:val="00484375"/>
    <w:rsid w:val="0049184A"/>
    <w:rsid w:val="00494398"/>
    <w:rsid w:val="004B1C71"/>
    <w:rsid w:val="004C45B6"/>
    <w:rsid w:val="004E1A62"/>
    <w:rsid w:val="004E3B0A"/>
    <w:rsid w:val="004E7E6D"/>
    <w:rsid w:val="005074CA"/>
    <w:rsid w:val="005479E2"/>
    <w:rsid w:val="005617CC"/>
    <w:rsid w:val="00575382"/>
    <w:rsid w:val="00582957"/>
    <w:rsid w:val="00595DA6"/>
    <w:rsid w:val="0059731D"/>
    <w:rsid w:val="005A6558"/>
    <w:rsid w:val="005B129F"/>
    <w:rsid w:val="005B4E06"/>
    <w:rsid w:val="005B5708"/>
    <w:rsid w:val="005C091F"/>
    <w:rsid w:val="005D7345"/>
    <w:rsid w:val="005E2D39"/>
    <w:rsid w:val="005E52FD"/>
    <w:rsid w:val="005F43B6"/>
    <w:rsid w:val="005F7A28"/>
    <w:rsid w:val="00601BB7"/>
    <w:rsid w:val="00602804"/>
    <w:rsid w:val="0060334F"/>
    <w:rsid w:val="00615C1E"/>
    <w:rsid w:val="00626DD1"/>
    <w:rsid w:val="0063530F"/>
    <w:rsid w:val="0065393E"/>
    <w:rsid w:val="00655037"/>
    <w:rsid w:val="0066541A"/>
    <w:rsid w:val="00665E49"/>
    <w:rsid w:val="006726EE"/>
    <w:rsid w:val="0068065A"/>
    <w:rsid w:val="006961F9"/>
    <w:rsid w:val="006B27BE"/>
    <w:rsid w:val="006E0EAC"/>
    <w:rsid w:val="006E12F8"/>
    <w:rsid w:val="006E40BA"/>
    <w:rsid w:val="007014E5"/>
    <w:rsid w:val="00716733"/>
    <w:rsid w:val="0073110D"/>
    <w:rsid w:val="00733B4B"/>
    <w:rsid w:val="00734DA6"/>
    <w:rsid w:val="007631CE"/>
    <w:rsid w:val="00763303"/>
    <w:rsid w:val="00766E57"/>
    <w:rsid w:val="00781FFE"/>
    <w:rsid w:val="00785839"/>
    <w:rsid w:val="00786FAE"/>
    <w:rsid w:val="00790050"/>
    <w:rsid w:val="007914E4"/>
    <w:rsid w:val="00795786"/>
    <w:rsid w:val="007C5832"/>
    <w:rsid w:val="007D6C0A"/>
    <w:rsid w:val="007E43EA"/>
    <w:rsid w:val="007E658F"/>
    <w:rsid w:val="00800300"/>
    <w:rsid w:val="0081073E"/>
    <w:rsid w:val="00816366"/>
    <w:rsid w:val="008178BB"/>
    <w:rsid w:val="00820065"/>
    <w:rsid w:val="008241FF"/>
    <w:rsid w:val="008253EA"/>
    <w:rsid w:val="008257E0"/>
    <w:rsid w:val="00827599"/>
    <w:rsid w:val="00827807"/>
    <w:rsid w:val="008320F4"/>
    <w:rsid w:val="00840149"/>
    <w:rsid w:val="00841E58"/>
    <w:rsid w:val="00843842"/>
    <w:rsid w:val="008536C6"/>
    <w:rsid w:val="00871B85"/>
    <w:rsid w:val="00885494"/>
    <w:rsid w:val="00894BCB"/>
    <w:rsid w:val="008958C9"/>
    <w:rsid w:val="008A624B"/>
    <w:rsid w:val="008B796E"/>
    <w:rsid w:val="008C2D5E"/>
    <w:rsid w:val="008C31C5"/>
    <w:rsid w:val="008E05DE"/>
    <w:rsid w:val="008E4AD8"/>
    <w:rsid w:val="0091004E"/>
    <w:rsid w:val="00912E11"/>
    <w:rsid w:val="009309C1"/>
    <w:rsid w:val="00952DFB"/>
    <w:rsid w:val="009565DE"/>
    <w:rsid w:val="00957BDD"/>
    <w:rsid w:val="00962D7B"/>
    <w:rsid w:val="00976556"/>
    <w:rsid w:val="0099571C"/>
    <w:rsid w:val="009A41C8"/>
    <w:rsid w:val="009A4BAB"/>
    <w:rsid w:val="009C0656"/>
    <w:rsid w:val="009C419B"/>
    <w:rsid w:val="009C748D"/>
    <w:rsid w:val="009E487D"/>
    <w:rsid w:val="00A04001"/>
    <w:rsid w:val="00A25051"/>
    <w:rsid w:val="00A54A41"/>
    <w:rsid w:val="00A603FC"/>
    <w:rsid w:val="00A6058C"/>
    <w:rsid w:val="00A74C01"/>
    <w:rsid w:val="00A95E02"/>
    <w:rsid w:val="00AC2A1C"/>
    <w:rsid w:val="00AD3269"/>
    <w:rsid w:val="00AF43CB"/>
    <w:rsid w:val="00B216D9"/>
    <w:rsid w:val="00B21A0B"/>
    <w:rsid w:val="00B21DFC"/>
    <w:rsid w:val="00B24135"/>
    <w:rsid w:val="00B3297E"/>
    <w:rsid w:val="00B37809"/>
    <w:rsid w:val="00B40C42"/>
    <w:rsid w:val="00B45FC7"/>
    <w:rsid w:val="00B51415"/>
    <w:rsid w:val="00B531E2"/>
    <w:rsid w:val="00B62033"/>
    <w:rsid w:val="00B67DD5"/>
    <w:rsid w:val="00B76CA7"/>
    <w:rsid w:val="00BB426F"/>
    <w:rsid w:val="00BC09C9"/>
    <w:rsid w:val="00BC2DD0"/>
    <w:rsid w:val="00BF1607"/>
    <w:rsid w:val="00C03B59"/>
    <w:rsid w:val="00C11E53"/>
    <w:rsid w:val="00C15FE4"/>
    <w:rsid w:val="00C2433D"/>
    <w:rsid w:val="00C24498"/>
    <w:rsid w:val="00C24BE4"/>
    <w:rsid w:val="00C53F77"/>
    <w:rsid w:val="00C57946"/>
    <w:rsid w:val="00C8253E"/>
    <w:rsid w:val="00CA246E"/>
    <w:rsid w:val="00CB14DD"/>
    <w:rsid w:val="00CB6D50"/>
    <w:rsid w:val="00CC776A"/>
    <w:rsid w:val="00CD78F9"/>
    <w:rsid w:val="00CD7E06"/>
    <w:rsid w:val="00CE22CD"/>
    <w:rsid w:val="00CE351F"/>
    <w:rsid w:val="00CE6236"/>
    <w:rsid w:val="00CF1FDB"/>
    <w:rsid w:val="00CF69BD"/>
    <w:rsid w:val="00D149A1"/>
    <w:rsid w:val="00D20524"/>
    <w:rsid w:val="00D41C47"/>
    <w:rsid w:val="00D5383B"/>
    <w:rsid w:val="00D62C15"/>
    <w:rsid w:val="00D71E2C"/>
    <w:rsid w:val="00DE1B04"/>
    <w:rsid w:val="00DE4140"/>
    <w:rsid w:val="00DE666E"/>
    <w:rsid w:val="00DF08D1"/>
    <w:rsid w:val="00E01A86"/>
    <w:rsid w:val="00E02690"/>
    <w:rsid w:val="00E076C8"/>
    <w:rsid w:val="00E10E8B"/>
    <w:rsid w:val="00E3697F"/>
    <w:rsid w:val="00E36A9B"/>
    <w:rsid w:val="00E47929"/>
    <w:rsid w:val="00E534DA"/>
    <w:rsid w:val="00E54B4B"/>
    <w:rsid w:val="00E54E3F"/>
    <w:rsid w:val="00E613F4"/>
    <w:rsid w:val="00E70DF9"/>
    <w:rsid w:val="00E84A7F"/>
    <w:rsid w:val="00E85BC0"/>
    <w:rsid w:val="00E9147B"/>
    <w:rsid w:val="00EA6512"/>
    <w:rsid w:val="00EA6C5E"/>
    <w:rsid w:val="00EC0E18"/>
    <w:rsid w:val="00EC1210"/>
    <w:rsid w:val="00ED5CCA"/>
    <w:rsid w:val="00ED6E4E"/>
    <w:rsid w:val="00EF59BC"/>
    <w:rsid w:val="00F1537D"/>
    <w:rsid w:val="00F15D81"/>
    <w:rsid w:val="00F31C35"/>
    <w:rsid w:val="00F34792"/>
    <w:rsid w:val="00F4006B"/>
    <w:rsid w:val="00F53E77"/>
    <w:rsid w:val="00F67A95"/>
    <w:rsid w:val="00F757AE"/>
    <w:rsid w:val="00F80C25"/>
    <w:rsid w:val="00F878E8"/>
    <w:rsid w:val="00FB26F3"/>
    <w:rsid w:val="00FC23BD"/>
    <w:rsid w:val="00FC2FFB"/>
    <w:rsid w:val="00FC360B"/>
    <w:rsid w:val="00FC4B1B"/>
    <w:rsid w:val="00FE50F9"/>
    <w:rsid w:val="00FE7E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CF302A-4B95-48A1-9C33-E7E71E33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F4"/>
    <w:pPr>
      <w:autoSpaceDE w:val="0"/>
      <w:autoSpaceDN w:val="0"/>
      <w:adjustRightInd w:val="0"/>
      <w:spacing w:after="0" w:line="240" w:lineRule="auto"/>
    </w:pPr>
    <w:rPr>
      <w:rFonts w:ascii="Times New Roman" w:eastAsia="Times New Roman" w:hAnsi="Times New Roman" w:cs="Times New Roman"/>
      <w:sz w:val="20"/>
      <w:szCs w:val="20"/>
      <w:lang w:val="en-CA" w:eastAsia="en-CA"/>
    </w:rPr>
  </w:style>
  <w:style w:type="paragraph" w:styleId="Heading2">
    <w:name w:val="heading 2"/>
    <w:basedOn w:val="Normal"/>
    <w:next w:val="Normal"/>
    <w:link w:val="Heading2Char"/>
    <w:uiPriority w:val="9"/>
    <w:unhideWhenUsed/>
    <w:qFormat/>
    <w:rsid w:val="00B216D9"/>
    <w:pPr>
      <w:keepNext/>
      <w:keepLines/>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216D9"/>
    <w:pPr>
      <w:keepNext/>
      <w:keepLines/>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0F4"/>
    <w:pPr>
      <w:spacing w:after="0" w:line="240" w:lineRule="auto"/>
    </w:pPr>
  </w:style>
  <w:style w:type="character" w:styleId="CommentReference">
    <w:name w:val="annotation reference"/>
    <w:basedOn w:val="DefaultParagraphFont"/>
    <w:uiPriority w:val="99"/>
    <w:semiHidden/>
    <w:unhideWhenUsed/>
    <w:rsid w:val="008320F4"/>
    <w:rPr>
      <w:sz w:val="16"/>
      <w:szCs w:val="16"/>
    </w:rPr>
  </w:style>
  <w:style w:type="paragraph" w:styleId="CommentText">
    <w:name w:val="annotation text"/>
    <w:basedOn w:val="Normal"/>
    <w:link w:val="CommentTextChar"/>
    <w:uiPriority w:val="99"/>
    <w:semiHidden/>
    <w:unhideWhenUsed/>
    <w:rsid w:val="008320F4"/>
  </w:style>
  <w:style w:type="character" w:customStyle="1" w:styleId="CommentTextChar">
    <w:name w:val="Comment Text Char"/>
    <w:basedOn w:val="DefaultParagraphFont"/>
    <w:link w:val="CommentText"/>
    <w:uiPriority w:val="99"/>
    <w:semiHidden/>
    <w:rsid w:val="008320F4"/>
    <w:rPr>
      <w:rFonts w:ascii="Times New Roman" w:eastAsia="Times New Roman" w:hAnsi="Times New Roman" w:cs="Times New Roman"/>
      <w:sz w:val="20"/>
      <w:szCs w:val="20"/>
      <w:lang w:val="en-CA" w:eastAsia="en-CA"/>
    </w:rPr>
  </w:style>
  <w:style w:type="table" w:styleId="LightList">
    <w:name w:val="Light List"/>
    <w:basedOn w:val="TableNormal"/>
    <w:uiPriority w:val="61"/>
    <w:rsid w:val="008320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320F4"/>
    <w:rPr>
      <w:rFonts w:ascii="Tahoma" w:hAnsi="Tahoma" w:cs="Tahoma"/>
      <w:sz w:val="16"/>
      <w:szCs w:val="16"/>
    </w:rPr>
  </w:style>
  <w:style w:type="character" w:customStyle="1" w:styleId="BalloonTextChar">
    <w:name w:val="Balloon Text Char"/>
    <w:basedOn w:val="DefaultParagraphFont"/>
    <w:link w:val="BalloonText"/>
    <w:uiPriority w:val="99"/>
    <w:semiHidden/>
    <w:rsid w:val="008320F4"/>
    <w:rPr>
      <w:rFonts w:ascii="Tahoma" w:eastAsia="Times New Roman" w:hAnsi="Tahoma" w:cs="Tahoma"/>
      <w:sz w:val="16"/>
      <w:szCs w:val="16"/>
      <w:lang w:val="en-CA" w:eastAsia="en-CA"/>
    </w:rPr>
  </w:style>
  <w:style w:type="paragraph" w:styleId="Title">
    <w:name w:val="Title"/>
    <w:basedOn w:val="Normal"/>
    <w:link w:val="TitleChar"/>
    <w:qFormat/>
    <w:rsid w:val="00BB426F"/>
    <w:pPr>
      <w:autoSpaceDE/>
      <w:autoSpaceDN/>
      <w:adjustRightInd/>
      <w:jc w:val="center"/>
    </w:pPr>
    <w:rPr>
      <w:rFonts w:ascii="Berlin Sans FB" w:hAnsi="Berlin Sans FB"/>
      <w:sz w:val="32"/>
      <w:szCs w:val="24"/>
      <w:lang w:val="en-US" w:eastAsia="en-US"/>
    </w:rPr>
  </w:style>
  <w:style w:type="character" w:customStyle="1" w:styleId="TitleChar">
    <w:name w:val="Title Char"/>
    <w:basedOn w:val="DefaultParagraphFont"/>
    <w:link w:val="Title"/>
    <w:rsid w:val="00BB426F"/>
    <w:rPr>
      <w:rFonts w:ascii="Berlin Sans FB" w:eastAsia="Times New Roman" w:hAnsi="Berlin Sans FB" w:cs="Times New Roman"/>
      <w:sz w:val="32"/>
      <w:szCs w:val="24"/>
    </w:rPr>
  </w:style>
  <w:style w:type="paragraph" w:styleId="ListParagraph">
    <w:name w:val="List Paragraph"/>
    <w:basedOn w:val="Normal"/>
    <w:link w:val="ListParagraphChar"/>
    <w:uiPriority w:val="34"/>
    <w:qFormat/>
    <w:rsid w:val="00BB426F"/>
    <w:pPr>
      <w:ind w:left="720"/>
      <w:contextualSpacing/>
    </w:pPr>
  </w:style>
  <w:style w:type="paragraph" w:styleId="Header">
    <w:name w:val="header"/>
    <w:basedOn w:val="Normal"/>
    <w:link w:val="HeaderChar"/>
    <w:uiPriority w:val="99"/>
    <w:unhideWhenUsed/>
    <w:rsid w:val="00C53F77"/>
    <w:pPr>
      <w:tabs>
        <w:tab w:val="center" w:pos="4680"/>
        <w:tab w:val="right" w:pos="9360"/>
      </w:tabs>
    </w:pPr>
  </w:style>
  <w:style w:type="character" w:customStyle="1" w:styleId="HeaderChar">
    <w:name w:val="Header Char"/>
    <w:basedOn w:val="DefaultParagraphFont"/>
    <w:link w:val="Header"/>
    <w:uiPriority w:val="99"/>
    <w:rsid w:val="00C53F77"/>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unhideWhenUsed/>
    <w:rsid w:val="00C53F77"/>
    <w:pPr>
      <w:tabs>
        <w:tab w:val="center" w:pos="4680"/>
        <w:tab w:val="right" w:pos="9360"/>
      </w:tabs>
    </w:pPr>
  </w:style>
  <w:style w:type="character" w:customStyle="1" w:styleId="FooterChar">
    <w:name w:val="Footer Char"/>
    <w:basedOn w:val="DefaultParagraphFont"/>
    <w:link w:val="Footer"/>
    <w:uiPriority w:val="99"/>
    <w:rsid w:val="00C53F77"/>
    <w:rPr>
      <w:rFonts w:ascii="Times New Roman" w:eastAsia="Times New Roman" w:hAnsi="Times New Roman" w:cs="Times New Roman"/>
      <w:sz w:val="20"/>
      <w:szCs w:val="20"/>
      <w:lang w:val="en-CA" w:eastAsia="en-CA"/>
    </w:rPr>
  </w:style>
  <w:style w:type="paragraph" w:styleId="BodyText">
    <w:name w:val="Body Text"/>
    <w:basedOn w:val="Normal"/>
    <w:link w:val="BodyTextChar"/>
    <w:rsid w:val="00785839"/>
    <w:pPr>
      <w:autoSpaceDE/>
      <w:autoSpaceDN/>
      <w:adjustRightInd/>
    </w:pPr>
    <w:rPr>
      <w:i/>
      <w:iCs/>
      <w:sz w:val="24"/>
      <w:szCs w:val="24"/>
      <w:lang w:val="en-US" w:eastAsia="en-US"/>
    </w:rPr>
  </w:style>
  <w:style w:type="character" w:customStyle="1" w:styleId="BodyTextChar">
    <w:name w:val="Body Text Char"/>
    <w:basedOn w:val="DefaultParagraphFont"/>
    <w:link w:val="BodyText"/>
    <w:rsid w:val="00785839"/>
    <w:rPr>
      <w:rFonts w:ascii="Times New Roman" w:eastAsia="Times New Roman" w:hAnsi="Times New Roman" w:cs="Times New Roman"/>
      <w:i/>
      <w:iCs/>
      <w:sz w:val="24"/>
      <w:szCs w:val="24"/>
    </w:rPr>
  </w:style>
  <w:style w:type="paragraph" w:styleId="FootnoteText">
    <w:name w:val="footnote text"/>
    <w:basedOn w:val="Normal"/>
    <w:link w:val="FootnoteTextChar"/>
    <w:uiPriority w:val="99"/>
    <w:semiHidden/>
    <w:unhideWhenUsed/>
    <w:rsid w:val="007014E5"/>
    <w:pPr>
      <w:autoSpaceDE/>
      <w:autoSpaceDN/>
      <w:adjustRightInd/>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7014E5"/>
    <w:rPr>
      <w:sz w:val="20"/>
      <w:szCs w:val="20"/>
      <w:lang w:val="en-CA"/>
    </w:rPr>
  </w:style>
  <w:style w:type="character" w:styleId="FootnoteReference">
    <w:name w:val="footnote reference"/>
    <w:basedOn w:val="DefaultParagraphFont"/>
    <w:uiPriority w:val="99"/>
    <w:semiHidden/>
    <w:unhideWhenUsed/>
    <w:rsid w:val="007014E5"/>
    <w:rPr>
      <w:vertAlign w:val="superscript"/>
    </w:rPr>
  </w:style>
  <w:style w:type="character" w:styleId="Hyperlink">
    <w:name w:val="Hyperlink"/>
    <w:basedOn w:val="DefaultParagraphFont"/>
    <w:uiPriority w:val="99"/>
    <w:unhideWhenUsed/>
    <w:rsid w:val="00042B2E"/>
    <w:rPr>
      <w:color w:val="0000FF" w:themeColor="hyperlink"/>
      <w:u w:val="single"/>
    </w:rPr>
  </w:style>
  <w:style w:type="paragraph" w:styleId="NormalWeb">
    <w:name w:val="Normal (Web)"/>
    <w:basedOn w:val="Normal"/>
    <w:uiPriority w:val="99"/>
    <w:unhideWhenUsed/>
    <w:rsid w:val="00042B2E"/>
    <w:pPr>
      <w:autoSpaceDE/>
      <w:autoSpaceDN/>
      <w:adjustRightInd/>
      <w:spacing w:before="100" w:beforeAutospacing="1" w:after="100" w:afterAutospacing="1"/>
    </w:pPr>
    <w:rPr>
      <w:sz w:val="24"/>
      <w:szCs w:val="24"/>
    </w:rPr>
  </w:style>
  <w:style w:type="paragraph" w:customStyle="1" w:styleId="DefaultParagraphFontChar">
    <w:name w:val="Default Paragraph Font Char"/>
    <w:aliases w:val=" Char Char Char Char Char"/>
    <w:basedOn w:val="Normal"/>
    <w:rsid w:val="002C10CE"/>
    <w:pPr>
      <w:autoSpaceDE/>
      <w:autoSpaceDN/>
      <w:adjustRightInd/>
      <w:spacing w:after="160" w:line="240" w:lineRule="exact"/>
    </w:pPr>
    <w:rPr>
      <w:rFonts w:ascii="Tahoma" w:hAnsi="Tahoma" w:cs="Tahoma"/>
      <w:lang w:val="en-US" w:eastAsia="en-US"/>
    </w:rPr>
  </w:style>
  <w:style w:type="paragraph" w:styleId="CommentSubject">
    <w:name w:val="annotation subject"/>
    <w:basedOn w:val="CommentText"/>
    <w:next w:val="CommentText"/>
    <w:link w:val="CommentSubjectChar"/>
    <w:uiPriority w:val="99"/>
    <w:semiHidden/>
    <w:unhideWhenUsed/>
    <w:rsid w:val="00C57946"/>
    <w:rPr>
      <w:b/>
      <w:bCs/>
    </w:rPr>
  </w:style>
  <w:style w:type="character" w:customStyle="1" w:styleId="CommentSubjectChar">
    <w:name w:val="Comment Subject Char"/>
    <w:basedOn w:val="CommentTextChar"/>
    <w:link w:val="CommentSubject"/>
    <w:uiPriority w:val="99"/>
    <w:semiHidden/>
    <w:rsid w:val="00C57946"/>
    <w:rPr>
      <w:rFonts w:ascii="Times New Roman" w:eastAsia="Times New Roman" w:hAnsi="Times New Roman" w:cs="Times New Roman"/>
      <w:b/>
      <w:bCs/>
      <w:sz w:val="20"/>
      <w:szCs w:val="20"/>
      <w:lang w:val="en-CA" w:eastAsia="en-CA"/>
    </w:rPr>
  </w:style>
  <w:style w:type="character" w:customStyle="1" w:styleId="Heading2Char">
    <w:name w:val="Heading 2 Char"/>
    <w:basedOn w:val="DefaultParagraphFont"/>
    <w:link w:val="Heading2"/>
    <w:uiPriority w:val="9"/>
    <w:rsid w:val="00B216D9"/>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rsid w:val="00B216D9"/>
    <w:rPr>
      <w:rFonts w:asciiTheme="majorHAnsi" w:eastAsiaTheme="majorEastAsia" w:hAnsiTheme="majorHAnsi" w:cstheme="majorBidi"/>
      <w:b/>
      <w:bCs/>
      <w:color w:val="4F81BD" w:themeColor="accent1"/>
      <w:lang w:val="en-CA"/>
    </w:rPr>
  </w:style>
  <w:style w:type="paragraph" w:customStyle="1" w:styleId="Level1">
    <w:name w:val="Level 1"/>
    <w:rsid w:val="004014C6"/>
    <w:pPr>
      <w:autoSpaceDE w:val="0"/>
      <w:autoSpaceDN w:val="0"/>
      <w:adjustRightInd w:val="0"/>
      <w:spacing w:after="0" w:line="240" w:lineRule="auto"/>
      <w:ind w:left="720"/>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71E2C"/>
    <w:rPr>
      <w:color w:val="800080" w:themeColor="followedHyperlink"/>
      <w:u w:val="single"/>
    </w:rPr>
  </w:style>
  <w:style w:type="character" w:customStyle="1" w:styleId="ListParagraphChar">
    <w:name w:val="List Paragraph Char"/>
    <w:link w:val="ListParagraph"/>
    <w:uiPriority w:val="34"/>
    <w:locked/>
    <w:rsid w:val="00AC2A1C"/>
    <w:rPr>
      <w:rFonts w:ascii="Times New Roman" w:eastAsia="Times New Roman" w:hAnsi="Times New Roman" w:cs="Times New Roman"/>
      <w:sz w:val="20"/>
      <w:szCs w:val="20"/>
      <w:lang w:val="en-CA" w:eastAsia="en-CA"/>
    </w:rPr>
  </w:style>
  <w:style w:type="paragraph" w:styleId="Revision">
    <w:name w:val="Revision"/>
    <w:hidden/>
    <w:uiPriority w:val="99"/>
    <w:semiHidden/>
    <w:rsid w:val="00EF59BC"/>
    <w:pPr>
      <w:spacing w:after="0" w:line="240" w:lineRule="auto"/>
    </w:pPr>
    <w:rPr>
      <w:rFonts w:ascii="Times New Roman" w:eastAsia="Times New Roman" w:hAnsi="Times New Roman" w:cs="Times New Roman"/>
      <w:sz w:val="20"/>
      <w:szCs w:val="20"/>
      <w:lang w:val="en-CA" w:eastAsia="en-CA"/>
    </w:rPr>
  </w:style>
  <w:style w:type="character" w:styleId="Strong">
    <w:name w:val="Strong"/>
    <w:basedOn w:val="DefaultParagraphFont"/>
    <w:uiPriority w:val="22"/>
    <w:qFormat/>
    <w:rsid w:val="009C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2957">
      <w:bodyDiv w:val="1"/>
      <w:marLeft w:val="60"/>
      <w:marRight w:val="60"/>
      <w:marTop w:val="60"/>
      <w:marBottom w:val="15"/>
      <w:divBdr>
        <w:top w:val="none" w:sz="0" w:space="0" w:color="auto"/>
        <w:left w:val="none" w:sz="0" w:space="0" w:color="auto"/>
        <w:bottom w:val="none" w:sz="0" w:space="0" w:color="auto"/>
        <w:right w:val="none" w:sz="0" w:space="0" w:color="auto"/>
      </w:divBdr>
      <w:divsChild>
        <w:div w:id="111172567">
          <w:marLeft w:val="0"/>
          <w:marRight w:val="0"/>
          <w:marTop w:val="0"/>
          <w:marBottom w:val="0"/>
          <w:divBdr>
            <w:top w:val="none" w:sz="0" w:space="0" w:color="auto"/>
            <w:left w:val="none" w:sz="0" w:space="0" w:color="auto"/>
            <w:bottom w:val="none" w:sz="0" w:space="0" w:color="auto"/>
            <w:right w:val="none" w:sz="0" w:space="0" w:color="auto"/>
          </w:divBdr>
        </w:div>
        <w:div w:id="2022929845">
          <w:marLeft w:val="0"/>
          <w:marRight w:val="0"/>
          <w:marTop w:val="0"/>
          <w:marBottom w:val="0"/>
          <w:divBdr>
            <w:top w:val="none" w:sz="0" w:space="0" w:color="auto"/>
            <w:left w:val="none" w:sz="0" w:space="0" w:color="auto"/>
            <w:bottom w:val="none" w:sz="0" w:space="0" w:color="auto"/>
            <w:right w:val="none" w:sz="0" w:space="0" w:color="auto"/>
          </w:divBdr>
        </w:div>
        <w:div w:id="1299260060">
          <w:marLeft w:val="0"/>
          <w:marRight w:val="0"/>
          <w:marTop w:val="0"/>
          <w:marBottom w:val="0"/>
          <w:divBdr>
            <w:top w:val="none" w:sz="0" w:space="0" w:color="auto"/>
            <w:left w:val="none" w:sz="0" w:space="0" w:color="auto"/>
            <w:bottom w:val="none" w:sz="0" w:space="0" w:color="auto"/>
            <w:right w:val="none" w:sz="0" w:space="0" w:color="auto"/>
          </w:divBdr>
        </w:div>
        <w:div w:id="1487547776">
          <w:marLeft w:val="0"/>
          <w:marRight w:val="0"/>
          <w:marTop w:val="0"/>
          <w:marBottom w:val="0"/>
          <w:divBdr>
            <w:top w:val="none" w:sz="0" w:space="0" w:color="auto"/>
            <w:left w:val="none" w:sz="0" w:space="0" w:color="auto"/>
            <w:bottom w:val="none" w:sz="0" w:space="0" w:color="auto"/>
            <w:right w:val="none" w:sz="0" w:space="0" w:color="auto"/>
          </w:divBdr>
        </w:div>
        <w:div w:id="800078529">
          <w:marLeft w:val="0"/>
          <w:marRight w:val="0"/>
          <w:marTop w:val="0"/>
          <w:marBottom w:val="0"/>
          <w:divBdr>
            <w:top w:val="none" w:sz="0" w:space="0" w:color="auto"/>
            <w:left w:val="none" w:sz="0" w:space="0" w:color="auto"/>
            <w:bottom w:val="none" w:sz="0" w:space="0" w:color="auto"/>
            <w:right w:val="none" w:sz="0" w:space="0" w:color="auto"/>
          </w:divBdr>
        </w:div>
      </w:divsChild>
    </w:div>
    <w:div w:id="545071762">
      <w:bodyDiv w:val="1"/>
      <w:marLeft w:val="0"/>
      <w:marRight w:val="0"/>
      <w:marTop w:val="0"/>
      <w:marBottom w:val="0"/>
      <w:divBdr>
        <w:top w:val="none" w:sz="0" w:space="0" w:color="auto"/>
        <w:left w:val="none" w:sz="0" w:space="0" w:color="auto"/>
        <w:bottom w:val="none" w:sz="0" w:space="0" w:color="auto"/>
        <w:right w:val="none" w:sz="0" w:space="0" w:color="auto"/>
      </w:divBdr>
    </w:div>
    <w:div w:id="573784486">
      <w:bodyDiv w:val="1"/>
      <w:marLeft w:val="0"/>
      <w:marRight w:val="0"/>
      <w:marTop w:val="0"/>
      <w:marBottom w:val="0"/>
      <w:divBdr>
        <w:top w:val="none" w:sz="0" w:space="0" w:color="auto"/>
        <w:left w:val="none" w:sz="0" w:space="0" w:color="auto"/>
        <w:bottom w:val="none" w:sz="0" w:space="0" w:color="auto"/>
        <w:right w:val="none" w:sz="0" w:space="0" w:color="auto"/>
      </w:divBdr>
    </w:div>
    <w:div w:id="1068958255">
      <w:bodyDiv w:val="1"/>
      <w:marLeft w:val="60"/>
      <w:marRight w:val="60"/>
      <w:marTop w:val="60"/>
      <w:marBottom w:val="15"/>
      <w:divBdr>
        <w:top w:val="none" w:sz="0" w:space="0" w:color="auto"/>
        <w:left w:val="none" w:sz="0" w:space="0" w:color="auto"/>
        <w:bottom w:val="none" w:sz="0" w:space="0" w:color="auto"/>
        <w:right w:val="none" w:sz="0" w:space="0" w:color="auto"/>
      </w:divBdr>
      <w:divsChild>
        <w:div w:id="1282419441">
          <w:marLeft w:val="0"/>
          <w:marRight w:val="0"/>
          <w:marTop w:val="0"/>
          <w:marBottom w:val="0"/>
          <w:divBdr>
            <w:top w:val="none" w:sz="0" w:space="0" w:color="auto"/>
            <w:left w:val="none" w:sz="0" w:space="0" w:color="auto"/>
            <w:bottom w:val="none" w:sz="0" w:space="0" w:color="auto"/>
            <w:right w:val="none" w:sz="0" w:space="0" w:color="auto"/>
          </w:divBdr>
        </w:div>
        <w:div w:id="1977296120">
          <w:marLeft w:val="0"/>
          <w:marRight w:val="0"/>
          <w:marTop w:val="0"/>
          <w:marBottom w:val="0"/>
          <w:divBdr>
            <w:top w:val="none" w:sz="0" w:space="0" w:color="auto"/>
            <w:left w:val="none" w:sz="0" w:space="0" w:color="auto"/>
            <w:bottom w:val="none" w:sz="0" w:space="0" w:color="auto"/>
            <w:right w:val="none" w:sz="0" w:space="0" w:color="auto"/>
          </w:divBdr>
        </w:div>
        <w:div w:id="1145850483">
          <w:marLeft w:val="0"/>
          <w:marRight w:val="0"/>
          <w:marTop w:val="0"/>
          <w:marBottom w:val="0"/>
          <w:divBdr>
            <w:top w:val="none" w:sz="0" w:space="0" w:color="auto"/>
            <w:left w:val="none" w:sz="0" w:space="0" w:color="auto"/>
            <w:bottom w:val="none" w:sz="0" w:space="0" w:color="auto"/>
            <w:right w:val="none" w:sz="0" w:space="0" w:color="auto"/>
          </w:divBdr>
        </w:div>
      </w:divsChild>
    </w:div>
    <w:div w:id="1247377013">
      <w:bodyDiv w:val="1"/>
      <w:marLeft w:val="0"/>
      <w:marRight w:val="0"/>
      <w:marTop w:val="0"/>
      <w:marBottom w:val="0"/>
      <w:divBdr>
        <w:top w:val="none" w:sz="0" w:space="0" w:color="auto"/>
        <w:left w:val="none" w:sz="0" w:space="0" w:color="auto"/>
        <w:bottom w:val="none" w:sz="0" w:space="0" w:color="auto"/>
        <w:right w:val="none" w:sz="0" w:space="0" w:color="auto"/>
      </w:divBdr>
    </w:div>
    <w:div w:id="1631588262">
      <w:bodyDiv w:val="1"/>
      <w:marLeft w:val="60"/>
      <w:marRight w:val="60"/>
      <w:marTop w:val="60"/>
      <w:marBottom w:val="15"/>
      <w:divBdr>
        <w:top w:val="none" w:sz="0" w:space="0" w:color="auto"/>
        <w:left w:val="none" w:sz="0" w:space="0" w:color="auto"/>
        <w:bottom w:val="none" w:sz="0" w:space="0" w:color="auto"/>
        <w:right w:val="none" w:sz="0" w:space="0" w:color="auto"/>
      </w:divBdr>
      <w:divsChild>
        <w:div w:id="1446267740">
          <w:marLeft w:val="0"/>
          <w:marRight w:val="0"/>
          <w:marTop w:val="0"/>
          <w:marBottom w:val="0"/>
          <w:divBdr>
            <w:top w:val="none" w:sz="0" w:space="0" w:color="auto"/>
            <w:left w:val="none" w:sz="0" w:space="0" w:color="auto"/>
            <w:bottom w:val="none" w:sz="0" w:space="0" w:color="auto"/>
            <w:right w:val="none" w:sz="0" w:space="0" w:color="auto"/>
          </w:divBdr>
        </w:div>
        <w:div w:id="945036782">
          <w:marLeft w:val="0"/>
          <w:marRight w:val="0"/>
          <w:marTop w:val="0"/>
          <w:marBottom w:val="0"/>
          <w:divBdr>
            <w:top w:val="none" w:sz="0" w:space="0" w:color="auto"/>
            <w:left w:val="none" w:sz="0" w:space="0" w:color="auto"/>
            <w:bottom w:val="none" w:sz="0" w:space="0" w:color="auto"/>
            <w:right w:val="none" w:sz="0" w:space="0" w:color="auto"/>
          </w:divBdr>
        </w:div>
        <w:div w:id="1064722134">
          <w:marLeft w:val="0"/>
          <w:marRight w:val="0"/>
          <w:marTop w:val="0"/>
          <w:marBottom w:val="0"/>
          <w:divBdr>
            <w:top w:val="none" w:sz="0" w:space="0" w:color="auto"/>
            <w:left w:val="none" w:sz="0" w:space="0" w:color="auto"/>
            <w:bottom w:val="none" w:sz="0" w:space="0" w:color="auto"/>
            <w:right w:val="none" w:sz="0" w:space="0" w:color="auto"/>
          </w:divBdr>
        </w:div>
      </w:divsChild>
    </w:div>
    <w:div w:id="1636175830">
      <w:bodyDiv w:val="1"/>
      <w:marLeft w:val="60"/>
      <w:marRight w:val="60"/>
      <w:marTop w:val="60"/>
      <w:marBottom w:val="15"/>
      <w:divBdr>
        <w:top w:val="none" w:sz="0" w:space="0" w:color="auto"/>
        <w:left w:val="none" w:sz="0" w:space="0" w:color="auto"/>
        <w:bottom w:val="none" w:sz="0" w:space="0" w:color="auto"/>
        <w:right w:val="none" w:sz="0" w:space="0" w:color="auto"/>
      </w:divBdr>
      <w:divsChild>
        <w:div w:id="328287493">
          <w:marLeft w:val="0"/>
          <w:marRight w:val="0"/>
          <w:marTop w:val="0"/>
          <w:marBottom w:val="0"/>
          <w:divBdr>
            <w:top w:val="none" w:sz="0" w:space="0" w:color="auto"/>
            <w:left w:val="none" w:sz="0" w:space="0" w:color="auto"/>
            <w:bottom w:val="none" w:sz="0" w:space="0" w:color="auto"/>
            <w:right w:val="none" w:sz="0" w:space="0" w:color="auto"/>
          </w:divBdr>
        </w:div>
      </w:divsChild>
    </w:div>
    <w:div w:id="19036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pection.gc.ca/about-the-cfia/acts-and-regulations/regulatory-initiatives/sfca/food-safety-systems/eng/1426531180176/14265312653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spection.gc.ca/about-the-cfia/contact-us/eng/1299860523723/1299860643049" TargetMode="External"/><Relationship Id="rId4" Type="http://schemas.openxmlformats.org/officeDocument/2006/relationships/settings" Target="settings.xml"/><Relationship Id="rId9" Type="http://schemas.openxmlformats.org/officeDocument/2006/relationships/hyperlink" Target="http://inspection.gc.ca/about-the-cfia/acts-and-regulations/regulatory-initiatives/sfca/food-safety-systems/eng/1426531180176/142653126531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76D0-684B-4AA9-906B-C56D5B18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1256</Words>
  <Characters>7161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AAFC-AAC</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Krystine Farago</dc:creator>
  <cp:lastModifiedBy>Wally Burns</cp:lastModifiedBy>
  <cp:revision>1</cp:revision>
  <cp:lastPrinted>2017-01-03T20:19:00Z</cp:lastPrinted>
  <dcterms:created xsi:type="dcterms:W3CDTF">2017-01-25T17:09:00Z</dcterms:created>
  <dcterms:modified xsi:type="dcterms:W3CDTF">2017-01-25T17:09:00Z</dcterms:modified>
</cp:coreProperties>
</file>